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ediumShading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8549B" w:rsidRPr="004C1655" w:rsidTr="000354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549B" w:rsidRPr="00606D35" w:rsidRDefault="0038549B" w:rsidP="00927928">
            <w:pPr>
              <w:rPr>
                <w:rFonts w:ascii="Times New Roman" w:hAnsi="Times New Roman" w:cs="Times New Roman"/>
                <w:color w:val="FFCC00"/>
                <w:sz w:val="24"/>
                <w:szCs w:val="24"/>
                <w14:textFill>
                  <w14:solidFill>
                    <w14:srgbClr w14:val="FFCC00">
                      <w14:lumMod w14:val="95000"/>
                      <w14:lumOff w14:val="5000"/>
                    </w14:srgbClr>
                  </w14:solidFill>
                </w14:textFill>
              </w:rPr>
            </w:pPr>
            <w:r w:rsidRPr="00606D35">
              <w:rPr>
                <w:rFonts w:ascii="Times New Roman" w:hAnsi="Times New Roman" w:cs="Times New Roman"/>
                <w:color w:val="FFCC00"/>
                <w:sz w:val="52"/>
                <w:szCs w:val="52"/>
              </w:rPr>
              <w:t xml:space="preserve">The Base </w:t>
            </w:r>
            <w:proofErr w:type="spellStart"/>
            <w:r w:rsidRPr="00606D35">
              <w:rPr>
                <w:rFonts w:ascii="Times New Roman" w:hAnsi="Times New Roman" w:cs="Times New Roman"/>
                <w:color w:val="FFCC00"/>
                <w:sz w:val="52"/>
                <w:szCs w:val="52"/>
              </w:rPr>
              <w:t>Pattaya</w:t>
            </w:r>
            <w:proofErr w:type="spellEnd"/>
          </w:p>
        </w:tc>
        <w:tc>
          <w:tcPr>
            <w:tcW w:w="47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8549B" w:rsidRPr="004C1655" w:rsidRDefault="0038549B" w:rsidP="0092792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4C1655" w:rsidRPr="004C1655" w:rsidTr="00606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right w:val="none" w:sz="0" w:space="0" w:color="auto"/>
            </w:tcBorders>
            <w:shd w:val="clear" w:color="auto" w:fill="FFCE33"/>
          </w:tcPr>
          <w:p w:rsidR="004C1655" w:rsidRPr="004C1655" w:rsidRDefault="004C1655" w:rsidP="00927928">
            <w:pPr>
              <w:rPr>
                <w:rFonts w:ascii="Times New Roman" w:hAnsi="Times New Roman" w:cs="Times New Roman"/>
                <w:color w:val="FFC000"/>
                <w:sz w:val="52"/>
                <w:szCs w:val="52"/>
              </w:rPr>
            </w:pPr>
            <w:r w:rsidRPr="00DC794E">
              <w:rPr>
                <w:rFonts w:ascii="Times New Roman" w:hAnsi="Times New Roman" w:cs="Times New Roman"/>
                <w:color w:val="0D0D0D" w:themeColor="text1" w:themeTint="F2"/>
                <w:sz w:val="28"/>
              </w:rPr>
              <w:t>Location :</w:t>
            </w:r>
          </w:p>
        </w:tc>
        <w:tc>
          <w:tcPr>
            <w:tcW w:w="4788" w:type="dxa"/>
            <w:tcBorders>
              <w:left w:val="none" w:sz="0" w:space="0" w:color="auto"/>
            </w:tcBorders>
            <w:shd w:val="clear" w:color="auto" w:fill="FFCE33"/>
          </w:tcPr>
          <w:p w:rsidR="004C1655" w:rsidRPr="004C1655" w:rsidRDefault="004C1655" w:rsidP="009279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38549B" w:rsidRPr="004C1655" w:rsidTr="000354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38549B" w:rsidRPr="00035461" w:rsidRDefault="0038549B" w:rsidP="004C1655">
            <w:pPr>
              <w:rPr>
                <w:rFonts w:ascii="BrowalliaUPC" w:hAnsi="BrowalliaUPC" w:cs="BrowalliaUPC"/>
                <w:b w:val="0"/>
                <w:bCs w:val="0"/>
                <w:color w:val="0D0D0D" w:themeColor="text1" w:themeTint="F2"/>
                <w:sz w:val="24"/>
                <w:szCs w:val="24"/>
              </w:rPr>
            </w:pPr>
            <w:r w:rsidRPr="00035461">
              <w:rPr>
                <w:rFonts w:ascii="BrowalliaUPC" w:hAnsi="BrowalliaUPC" w:cs="BrowalliaUPC"/>
                <w:b w:val="0"/>
                <w:bCs w:val="0"/>
                <w:color w:val="0D0D0D" w:themeColor="text1" w:themeTint="F2"/>
                <w:sz w:val="24"/>
                <w:szCs w:val="24"/>
              </w:rPr>
              <w:t xml:space="preserve">Central </w:t>
            </w:r>
            <w:proofErr w:type="spellStart"/>
            <w:r w:rsidRPr="00035461">
              <w:rPr>
                <w:rFonts w:ascii="BrowalliaUPC" w:hAnsi="BrowalliaUPC" w:cs="BrowalliaUPC"/>
                <w:b w:val="0"/>
                <w:bCs w:val="0"/>
                <w:color w:val="0D0D0D" w:themeColor="text1" w:themeTint="F2"/>
                <w:sz w:val="24"/>
                <w:szCs w:val="24"/>
              </w:rPr>
              <w:t>Pattaya</w:t>
            </w:r>
            <w:proofErr w:type="spellEnd"/>
            <w:r w:rsidRPr="00035461">
              <w:rPr>
                <w:rFonts w:ascii="BrowalliaUPC" w:hAnsi="BrowalliaUPC" w:cs="BrowalliaUPC"/>
                <w:b w:val="0"/>
                <w:bCs w:val="0"/>
                <w:color w:val="0D0D0D" w:themeColor="text1" w:themeTint="F2"/>
                <w:sz w:val="24"/>
                <w:szCs w:val="24"/>
              </w:rPr>
              <w:t xml:space="preserve">, Second Road between </w:t>
            </w:r>
            <w:proofErr w:type="spellStart"/>
            <w:r w:rsidRPr="00035461">
              <w:rPr>
                <w:rFonts w:ascii="BrowalliaUPC" w:hAnsi="BrowalliaUPC" w:cs="BrowalliaUPC"/>
                <w:b w:val="0"/>
                <w:bCs w:val="0"/>
                <w:color w:val="0D0D0D" w:themeColor="text1" w:themeTint="F2"/>
                <w:sz w:val="24"/>
                <w:szCs w:val="24"/>
              </w:rPr>
              <w:t>Soi</w:t>
            </w:r>
            <w:proofErr w:type="spellEnd"/>
            <w:r w:rsidRPr="00035461">
              <w:rPr>
                <w:rFonts w:ascii="BrowalliaUPC" w:hAnsi="BrowalliaUPC" w:cs="BrowalliaUPC"/>
                <w:b w:val="0"/>
                <w:bCs w:val="0"/>
                <w:color w:val="0D0D0D" w:themeColor="text1" w:themeTint="F2"/>
                <w:sz w:val="24"/>
                <w:szCs w:val="24"/>
              </w:rPr>
              <w:t xml:space="preserve"> Diana Inn and </w:t>
            </w:r>
            <w:proofErr w:type="spellStart"/>
            <w:r w:rsidRPr="00035461">
              <w:rPr>
                <w:rFonts w:ascii="BrowalliaUPC" w:hAnsi="BrowalliaUPC" w:cs="BrowalliaUPC"/>
                <w:b w:val="0"/>
                <w:bCs w:val="0"/>
                <w:color w:val="0D0D0D" w:themeColor="text1" w:themeTint="F2"/>
                <w:sz w:val="24"/>
                <w:szCs w:val="24"/>
              </w:rPr>
              <w:t>Soi</w:t>
            </w:r>
            <w:proofErr w:type="spellEnd"/>
            <w:r w:rsidRPr="00035461">
              <w:rPr>
                <w:rFonts w:ascii="BrowalliaUPC" w:hAnsi="BrowalliaUPC" w:cs="BrowalliaUPC"/>
                <w:b w:val="0"/>
                <w:bCs w:val="0"/>
                <w:color w:val="0D0D0D" w:themeColor="text1" w:themeTint="F2"/>
                <w:sz w:val="24"/>
                <w:szCs w:val="24"/>
              </w:rPr>
              <w:t xml:space="preserve"> 11 also known as </w:t>
            </w:r>
            <w:proofErr w:type="spellStart"/>
            <w:r w:rsidRPr="00035461">
              <w:rPr>
                <w:rFonts w:ascii="BrowalliaUPC" w:hAnsi="BrowalliaUPC" w:cs="BrowalliaUPC"/>
                <w:b w:val="0"/>
                <w:bCs w:val="0"/>
                <w:color w:val="0D0D0D" w:themeColor="text1" w:themeTint="F2"/>
                <w:sz w:val="24"/>
                <w:szCs w:val="24"/>
              </w:rPr>
              <w:t>Soi</w:t>
            </w:r>
            <w:proofErr w:type="spellEnd"/>
            <w:r w:rsidRPr="00035461">
              <w:rPr>
                <w:rFonts w:ascii="BrowalliaUPC" w:hAnsi="BrowalliaUPC" w:cs="BrowalliaUPC"/>
                <w:b w:val="0"/>
                <w:bCs w:val="0"/>
                <w:color w:val="0D0D0D" w:themeColor="text1" w:themeTint="F2"/>
                <w:sz w:val="24"/>
                <w:szCs w:val="24"/>
              </w:rPr>
              <w:t xml:space="preserve"> Honey Inn and the entrance will be from Second </w:t>
            </w:r>
            <w:proofErr w:type="spellStart"/>
            <w:r w:rsidRPr="00035461">
              <w:rPr>
                <w:rFonts w:ascii="BrowalliaUPC" w:hAnsi="BrowalliaUPC" w:cs="BrowalliaUPC"/>
                <w:b w:val="0"/>
                <w:bCs w:val="0"/>
                <w:color w:val="0D0D0D" w:themeColor="text1" w:themeTint="F2"/>
                <w:sz w:val="24"/>
                <w:szCs w:val="24"/>
              </w:rPr>
              <w:t>Road.Just</w:t>
            </w:r>
            <w:proofErr w:type="spellEnd"/>
            <w:r w:rsidRPr="00035461">
              <w:rPr>
                <w:rFonts w:ascii="BrowalliaUPC" w:hAnsi="BrowalliaUPC" w:cs="BrowalliaUPC"/>
                <w:b w:val="0"/>
                <w:bCs w:val="0"/>
                <w:color w:val="0D0D0D" w:themeColor="text1" w:themeTint="F2"/>
                <w:sz w:val="24"/>
                <w:szCs w:val="24"/>
              </w:rPr>
              <w:t xml:space="preserve"> 300m from the beach and in the heart of </w:t>
            </w:r>
            <w:proofErr w:type="spellStart"/>
            <w:r w:rsidRPr="00035461">
              <w:rPr>
                <w:rFonts w:ascii="BrowalliaUPC" w:hAnsi="BrowalliaUPC" w:cs="BrowalliaUPC"/>
                <w:b w:val="0"/>
                <w:bCs w:val="0"/>
                <w:color w:val="0D0D0D" w:themeColor="text1" w:themeTint="F2"/>
                <w:sz w:val="24"/>
                <w:szCs w:val="24"/>
              </w:rPr>
              <w:t>Pattaya’s</w:t>
            </w:r>
            <w:proofErr w:type="spellEnd"/>
            <w:r w:rsidRPr="00035461">
              <w:rPr>
                <w:rFonts w:ascii="BrowalliaUPC" w:hAnsi="BrowalliaUPC" w:cs="BrowalliaUPC"/>
                <w:b w:val="0"/>
                <w:bCs w:val="0"/>
                <w:color w:val="0D0D0D" w:themeColor="text1" w:themeTint="F2"/>
                <w:sz w:val="24"/>
                <w:szCs w:val="24"/>
              </w:rPr>
              <w:t xml:space="preserve"> entertainment and night life</w:t>
            </w:r>
            <w:r w:rsidR="004C1655" w:rsidRPr="00035461">
              <w:rPr>
                <w:rFonts w:ascii="BrowalliaUPC" w:hAnsi="BrowalliaUPC" w:cs="BrowalliaUPC"/>
                <w:b w:val="0"/>
                <w:bCs w:val="0"/>
                <w:color w:val="0D0D0D" w:themeColor="text1" w:themeTint="F2"/>
                <w:sz w:val="24"/>
                <w:szCs w:val="24"/>
              </w:rPr>
              <w:t>.</w:t>
            </w:r>
          </w:p>
          <w:p w:rsidR="0038549B" w:rsidRPr="00035461" w:rsidRDefault="0038549B" w:rsidP="0038549B">
            <w:pPr>
              <w:rPr>
                <w:rFonts w:ascii="BrowalliaUPC" w:hAnsi="BrowalliaUPC" w:cs="BrowalliaUPC"/>
                <w:color w:val="0D0D0D" w:themeColor="text1" w:themeTint="F2"/>
                <w:sz w:val="24"/>
                <w:szCs w:val="24"/>
              </w:rPr>
            </w:pPr>
            <w:r w:rsidRPr="00035461">
              <w:rPr>
                <w:rFonts w:ascii="BrowalliaUPC" w:hAnsi="BrowalliaUPC" w:cs="BrowalliaUPC"/>
                <w:color w:val="0D0D0D" w:themeColor="text1" w:themeTint="F2"/>
                <w:sz w:val="24"/>
                <w:szCs w:val="24"/>
              </w:rPr>
              <w:t>Shopping Mall</w:t>
            </w:r>
          </w:p>
          <w:p w:rsidR="0038549B" w:rsidRPr="00035461" w:rsidRDefault="0038549B" w:rsidP="00606D35">
            <w:pPr>
              <w:pStyle w:val="ListParagraph"/>
              <w:numPr>
                <w:ilvl w:val="0"/>
                <w:numId w:val="11"/>
              </w:numPr>
              <w:ind w:left="720"/>
              <w:rPr>
                <w:rFonts w:ascii="BrowalliaUPC" w:hAnsi="BrowalliaUPC" w:cs="BrowalliaUPC"/>
                <w:b w:val="0"/>
                <w:bCs w:val="0"/>
                <w:color w:val="0D0D0D" w:themeColor="text1" w:themeTint="F2"/>
                <w:sz w:val="24"/>
                <w:szCs w:val="24"/>
              </w:rPr>
            </w:pPr>
            <w:r w:rsidRPr="00035461">
              <w:rPr>
                <w:rFonts w:ascii="BrowalliaUPC" w:hAnsi="BrowalliaUPC" w:cs="BrowalliaUPC"/>
                <w:b w:val="0"/>
                <w:bCs w:val="0"/>
                <w:color w:val="0D0D0D" w:themeColor="text1" w:themeTint="F2"/>
                <w:sz w:val="24"/>
                <w:szCs w:val="24"/>
              </w:rPr>
              <w:t>Central Shopping Arcade is 250 m away (approximately 3 minutes by foot)</w:t>
            </w:r>
          </w:p>
          <w:p w:rsidR="0038549B" w:rsidRPr="00035461" w:rsidRDefault="0038549B" w:rsidP="00606D35">
            <w:pPr>
              <w:pStyle w:val="ListParagraph"/>
              <w:numPr>
                <w:ilvl w:val="0"/>
                <w:numId w:val="11"/>
              </w:numPr>
              <w:ind w:left="720"/>
              <w:rPr>
                <w:rFonts w:ascii="BrowalliaUPC" w:hAnsi="BrowalliaUPC" w:cs="BrowalliaUPC"/>
                <w:b w:val="0"/>
                <w:bCs w:val="0"/>
                <w:color w:val="0D0D0D" w:themeColor="text1" w:themeTint="F2"/>
                <w:sz w:val="24"/>
                <w:szCs w:val="24"/>
              </w:rPr>
            </w:pPr>
            <w:r w:rsidRPr="00035461">
              <w:rPr>
                <w:rFonts w:ascii="BrowalliaUPC" w:hAnsi="BrowalliaUPC" w:cs="BrowalliaUPC"/>
                <w:b w:val="0"/>
                <w:bCs w:val="0"/>
                <w:color w:val="0D0D0D" w:themeColor="text1" w:themeTint="F2"/>
                <w:sz w:val="24"/>
                <w:szCs w:val="24"/>
              </w:rPr>
              <w:t xml:space="preserve">The Avenue </w:t>
            </w:r>
            <w:proofErr w:type="spellStart"/>
            <w:r w:rsidRPr="00035461">
              <w:rPr>
                <w:rFonts w:ascii="BrowalliaUPC" w:hAnsi="BrowalliaUPC" w:cs="BrowalliaUPC"/>
                <w:b w:val="0"/>
                <w:bCs w:val="0"/>
                <w:color w:val="0D0D0D" w:themeColor="text1" w:themeTint="F2"/>
                <w:sz w:val="24"/>
                <w:szCs w:val="24"/>
              </w:rPr>
              <w:t>Pattaya</w:t>
            </w:r>
            <w:proofErr w:type="spellEnd"/>
            <w:r w:rsidRPr="00035461">
              <w:rPr>
                <w:rFonts w:ascii="BrowalliaUPC" w:hAnsi="BrowalliaUPC" w:cs="BrowalliaUPC"/>
                <w:b w:val="0"/>
                <w:bCs w:val="0"/>
                <w:color w:val="0D0D0D" w:themeColor="text1" w:themeTint="F2"/>
                <w:sz w:val="24"/>
                <w:szCs w:val="24"/>
              </w:rPr>
              <w:t xml:space="preserve"> Department Store – 670 m (8 minutes by foot)</w:t>
            </w:r>
          </w:p>
          <w:p w:rsidR="0038549B" w:rsidRPr="00035461" w:rsidRDefault="0038549B" w:rsidP="00606D35">
            <w:pPr>
              <w:pStyle w:val="ListParagraph"/>
              <w:numPr>
                <w:ilvl w:val="0"/>
                <w:numId w:val="11"/>
              </w:numPr>
              <w:ind w:left="720"/>
              <w:rPr>
                <w:rFonts w:ascii="BrowalliaUPC" w:hAnsi="BrowalliaUPC" w:cs="BrowalliaUPC"/>
                <w:b w:val="0"/>
                <w:bCs w:val="0"/>
                <w:color w:val="0D0D0D" w:themeColor="text1" w:themeTint="F2"/>
                <w:sz w:val="24"/>
                <w:szCs w:val="24"/>
              </w:rPr>
            </w:pPr>
            <w:r w:rsidRPr="00035461">
              <w:rPr>
                <w:rFonts w:ascii="BrowalliaUPC" w:hAnsi="BrowalliaUPC" w:cs="BrowalliaUPC"/>
                <w:b w:val="0"/>
                <w:bCs w:val="0"/>
                <w:color w:val="0D0D0D" w:themeColor="text1" w:themeTint="F2"/>
                <w:sz w:val="24"/>
                <w:szCs w:val="24"/>
              </w:rPr>
              <w:t>Villa Market (</w:t>
            </w:r>
            <w:proofErr w:type="spellStart"/>
            <w:r w:rsidRPr="00035461">
              <w:rPr>
                <w:rFonts w:ascii="BrowalliaUPC" w:hAnsi="BrowalliaUPC" w:cs="BrowalliaUPC"/>
                <w:b w:val="0"/>
                <w:bCs w:val="0"/>
                <w:color w:val="0D0D0D" w:themeColor="text1" w:themeTint="F2"/>
                <w:sz w:val="24"/>
                <w:szCs w:val="24"/>
              </w:rPr>
              <w:t>Pattaya</w:t>
            </w:r>
            <w:proofErr w:type="spellEnd"/>
            <w:r w:rsidRPr="00035461">
              <w:rPr>
                <w:rFonts w:ascii="BrowalliaUPC" w:hAnsi="BrowalliaUPC" w:cs="BrowalliaUPC"/>
                <w:b w:val="0"/>
                <w:bCs w:val="0"/>
                <w:color w:val="0D0D0D" w:themeColor="text1" w:themeTint="F2"/>
                <w:sz w:val="24"/>
                <w:szCs w:val="24"/>
              </w:rPr>
              <w:t>) – 670 m (8 minutes by foot)</w:t>
            </w:r>
          </w:p>
          <w:p w:rsidR="0038549B" w:rsidRPr="00035461" w:rsidRDefault="0038549B" w:rsidP="00606D35">
            <w:pPr>
              <w:pStyle w:val="ListParagraph"/>
              <w:numPr>
                <w:ilvl w:val="0"/>
                <w:numId w:val="11"/>
              </w:numPr>
              <w:ind w:left="720"/>
              <w:rPr>
                <w:rFonts w:ascii="BrowalliaUPC" w:hAnsi="BrowalliaUPC" w:cs="BrowalliaUPC"/>
                <w:b w:val="0"/>
                <w:bCs w:val="0"/>
                <w:color w:val="0D0D0D" w:themeColor="text1" w:themeTint="F2"/>
                <w:sz w:val="24"/>
                <w:szCs w:val="24"/>
              </w:rPr>
            </w:pPr>
            <w:r w:rsidRPr="00035461">
              <w:rPr>
                <w:rFonts w:ascii="BrowalliaUPC" w:hAnsi="BrowalliaUPC" w:cs="BrowalliaUPC"/>
                <w:b w:val="0"/>
                <w:bCs w:val="0"/>
                <w:color w:val="0D0D0D" w:themeColor="text1" w:themeTint="F2"/>
                <w:sz w:val="24"/>
                <w:szCs w:val="24"/>
              </w:rPr>
              <w:t xml:space="preserve">Central Festival </w:t>
            </w:r>
            <w:proofErr w:type="spellStart"/>
            <w:r w:rsidRPr="00035461">
              <w:rPr>
                <w:rFonts w:ascii="BrowalliaUPC" w:hAnsi="BrowalliaUPC" w:cs="BrowalliaUPC"/>
                <w:b w:val="0"/>
                <w:bCs w:val="0"/>
                <w:color w:val="0D0D0D" w:themeColor="text1" w:themeTint="F2"/>
                <w:sz w:val="24"/>
                <w:szCs w:val="24"/>
              </w:rPr>
              <w:t>Pattaya</w:t>
            </w:r>
            <w:proofErr w:type="spellEnd"/>
            <w:r w:rsidRPr="00035461">
              <w:rPr>
                <w:rFonts w:ascii="BrowalliaUPC" w:hAnsi="BrowalliaUPC" w:cs="BrowalliaUPC"/>
                <w:b w:val="0"/>
                <w:bCs w:val="0"/>
                <w:color w:val="0D0D0D" w:themeColor="text1" w:themeTint="F2"/>
                <w:sz w:val="24"/>
                <w:szCs w:val="24"/>
              </w:rPr>
              <w:t xml:space="preserve"> Beach – 750 m (9 minutes by foot)</w:t>
            </w:r>
          </w:p>
          <w:p w:rsidR="0038549B" w:rsidRPr="00035461" w:rsidRDefault="0038549B" w:rsidP="0038549B">
            <w:pPr>
              <w:rPr>
                <w:rFonts w:ascii="BrowalliaUPC" w:hAnsi="BrowalliaUPC" w:cs="BrowalliaUPC"/>
                <w:color w:val="0D0D0D" w:themeColor="text1" w:themeTint="F2"/>
                <w:sz w:val="24"/>
                <w:szCs w:val="24"/>
              </w:rPr>
            </w:pPr>
            <w:r w:rsidRPr="00035461">
              <w:rPr>
                <w:rFonts w:ascii="BrowalliaUPC" w:hAnsi="BrowalliaUPC" w:cs="BrowalliaUPC"/>
                <w:color w:val="0D0D0D" w:themeColor="text1" w:themeTint="F2"/>
                <w:sz w:val="24"/>
                <w:szCs w:val="24"/>
              </w:rPr>
              <w:t>Convenient Store</w:t>
            </w:r>
          </w:p>
          <w:p w:rsidR="0038549B" w:rsidRPr="00035461" w:rsidRDefault="0038549B" w:rsidP="00606D35">
            <w:pPr>
              <w:pStyle w:val="ListParagraph"/>
              <w:numPr>
                <w:ilvl w:val="0"/>
                <w:numId w:val="12"/>
              </w:numPr>
              <w:rPr>
                <w:rFonts w:ascii="BrowalliaUPC" w:hAnsi="BrowalliaUPC" w:cs="BrowalliaUPC"/>
                <w:b w:val="0"/>
                <w:bCs w:val="0"/>
                <w:color w:val="0D0D0D" w:themeColor="text1" w:themeTint="F2"/>
                <w:sz w:val="24"/>
                <w:szCs w:val="24"/>
              </w:rPr>
            </w:pPr>
            <w:r w:rsidRPr="00035461">
              <w:rPr>
                <w:rFonts w:ascii="BrowalliaUPC" w:hAnsi="BrowalliaUPC" w:cs="BrowalliaUPC"/>
                <w:b w:val="0"/>
                <w:bCs w:val="0"/>
                <w:color w:val="0D0D0D" w:themeColor="text1" w:themeTint="F2"/>
                <w:sz w:val="24"/>
                <w:szCs w:val="24"/>
              </w:rPr>
              <w:t>Family Mart convenience store – 100 m ( 1 minute by foot)</w:t>
            </w:r>
          </w:p>
          <w:p w:rsidR="0038549B" w:rsidRPr="00035461" w:rsidRDefault="0038549B" w:rsidP="0038549B">
            <w:pPr>
              <w:rPr>
                <w:rFonts w:ascii="BrowalliaUPC" w:hAnsi="BrowalliaUPC" w:cs="BrowalliaUPC"/>
                <w:color w:val="0D0D0D" w:themeColor="text1" w:themeTint="F2"/>
                <w:sz w:val="24"/>
                <w:szCs w:val="24"/>
              </w:rPr>
            </w:pPr>
            <w:r w:rsidRPr="00035461">
              <w:rPr>
                <w:rFonts w:ascii="BrowalliaUPC" w:hAnsi="BrowalliaUPC" w:cs="BrowalliaUPC"/>
                <w:color w:val="0D0D0D" w:themeColor="text1" w:themeTint="F2"/>
                <w:sz w:val="24"/>
                <w:szCs w:val="24"/>
              </w:rPr>
              <w:t xml:space="preserve">Restaurant </w:t>
            </w:r>
          </w:p>
          <w:p w:rsidR="0038549B" w:rsidRPr="00035461" w:rsidRDefault="0038549B" w:rsidP="00606D35">
            <w:pPr>
              <w:pStyle w:val="ListParagraph"/>
              <w:numPr>
                <w:ilvl w:val="0"/>
                <w:numId w:val="13"/>
              </w:numPr>
              <w:rPr>
                <w:rFonts w:ascii="BrowalliaUPC" w:hAnsi="BrowalliaUPC" w:cs="BrowalliaUPC"/>
                <w:b w:val="0"/>
                <w:bCs w:val="0"/>
                <w:color w:val="0D0D0D" w:themeColor="text1" w:themeTint="F2"/>
                <w:sz w:val="24"/>
                <w:szCs w:val="24"/>
              </w:rPr>
            </w:pPr>
            <w:r w:rsidRPr="00035461">
              <w:rPr>
                <w:rFonts w:ascii="BrowalliaUPC" w:hAnsi="BrowalliaUPC" w:cs="BrowalliaUPC"/>
                <w:b w:val="0"/>
                <w:bCs w:val="0"/>
                <w:color w:val="0D0D0D" w:themeColor="text1" w:themeTint="F2"/>
                <w:sz w:val="24"/>
                <w:szCs w:val="24"/>
              </w:rPr>
              <w:t>Subway (</w:t>
            </w:r>
            <w:proofErr w:type="spellStart"/>
            <w:r w:rsidRPr="00035461">
              <w:rPr>
                <w:rFonts w:ascii="BrowalliaUPC" w:hAnsi="BrowalliaUPC" w:cs="BrowalliaUPC"/>
                <w:b w:val="0"/>
                <w:bCs w:val="0"/>
                <w:color w:val="0D0D0D" w:themeColor="text1" w:themeTint="F2"/>
                <w:sz w:val="24"/>
                <w:szCs w:val="24"/>
              </w:rPr>
              <w:t>Pattaya</w:t>
            </w:r>
            <w:proofErr w:type="spellEnd"/>
            <w:r w:rsidRPr="00035461">
              <w:rPr>
                <w:rFonts w:ascii="BrowalliaUPC" w:hAnsi="BrowalliaUPC" w:cs="BrowalliaUPC"/>
                <w:b w:val="0"/>
                <w:bCs w:val="0"/>
                <w:color w:val="0D0D0D" w:themeColor="text1" w:themeTint="F2"/>
                <w:sz w:val="24"/>
                <w:szCs w:val="24"/>
              </w:rPr>
              <w:t>) – 370 m (5 minutes by foot)</w:t>
            </w:r>
          </w:p>
          <w:p w:rsidR="0038549B" w:rsidRPr="00035461" w:rsidRDefault="0038549B" w:rsidP="00606D35">
            <w:pPr>
              <w:pStyle w:val="ListParagraph"/>
              <w:numPr>
                <w:ilvl w:val="0"/>
                <w:numId w:val="13"/>
              </w:numPr>
              <w:rPr>
                <w:rFonts w:ascii="BrowalliaUPC" w:hAnsi="BrowalliaUPC" w:cs="BrowalliaUPC"/>
                <w:b w:val="0"/>
                <w:bCs w:val="0"/>
                <w:color w:val="0D0D0D" w:themeColor="text1" w:themeTint="F2"/>
                <w:sz w:val="24"/>
                <w:szCs w:val="24"/>
              </w:rPr>
            </w:pPr>
            <w:r w:rsidRPr="00035461">
              <w:rPr>
                <w:rFonts w:ascii="BrowalliaUPC" w:hAnsi="BrowalliaUPC" w:cs="BrowalliaUPC"/>
                <w:b w:val="0"/>
                <w:bCs w:val="0"/>
                <w:color w:val="0D0D0D" w:themeColor="text1" w:themeTint="F2"/>
                <w:sz w:val="24"/>
                <w:szCs w:val="24"/>
              </w:rPr>
              <w:t xml:space="preserve">McDonald's (The Avenue </w:t>
            </w:r>
            <w:proofErr w:type="spellStart"/>
            <w:r w:rsidRPr="00035461">
              <w:rPr>
                <w:rFonts w:ascii="BrowalliaUPC" w:hAnsi="BrowalliaUPC" w:cs="BrowalliaUPC"/>
                <w:b w:val="0"/>
                <w:bCs w:val="0"/>
                <w:color w:val="0D0D0D" w:themeColor="text1" w:themeTint="F2"/>
                <w:sz w:val="24"/>
                <w:szCs w:val="24"/>
              </w:rPr>
              <w:t>Pattaya</w:t>
            </w:r>
            <w:proofErr w:type="spellEnd"/>
            <w:r w:rsidRPr="00035461">
              <w:rPr>
                <w:rFonts w:ascii="BrowalliaUPC" w:hAnsi="BrowalliaUPC" w:cs="BrowalliaUPC"/>
                <w:b w:val="0"/>
                <w:bCs w:val="0"/>
                <w:color w:val="0D0D0D" w:themeColor="text1" w:themeTint="F2"/>
                <w:sz w:val="24"/>
                <w:szCs w:val="24"/>
              </w:rPr>
              <w:t>) – 390 m (5 minutes by foot)</w:t>
            </w:r>
          </w:p>
          <w:p w:rsidR="0038549B" w:rsidRPr="00035461" w:rsidRDefault="0038549B" w:rsidP="00606D35">
            <w:pPr>
              <w:pStyle w:val="ListParagraph"/>
              <w:numPr>
                <w:ilvl w:val="0"/>
                <w:numId w:val="13"/>
              </w:numPr>
              <w:rPr>
                <w:rFonts w:ascii="BrowalliaUPC" w:hAnsi="BrowalliaUPC" w:cs="BrowalliaUPC"/>
                <w:b w:val="0"/>
                <w:bCs w:val="0"/>
                <w:color w:val="0D0D0D" w:themeColor="text1" w:themeTint="F2"/>
                <w:sz w:val="24"/>
                <w:szCs w:val="24"/>
              </w:rPr>
            </w:pPr>
            <w:r w:rsidRPr="00035461">
              <w:rPr>
                <w:rFonts w:ascii="BrowalliaUPC" w:hAnsi="BrowalliaUPC" w:cs="BrowalliaUPC"/>
                <w:b w:val="0"/>
                <w:bCs w:val="0"/>
                <w:color w:val="0D0D0D" w:themeColor="text1" w:themeTint="F2"/>
                <w:sz w:val="24"/>
                <w:szCs w:val="24"/>
              </w:rPr>
              <w:t>The Jolly Friar - Fish &amp; Chips – 430 m (5 minutes by foot)</w:t>
            </w:r>
          </w:p>
          <w:p w:rsidR="0038549B" w:rsidRPr="00035461" w:rsidRDefault="0038549B" w:rsidP="00606D35">
            <w:pPr>
              <w:pStyle w:val="ListParagraph"/>
              <w:numPr>
                <w:ilvl w:val="0"/>
                <w:numId w:val="13"/>
              </w:numPr>
              <w:rPr>
                <w:rFonts w:ascii="BrowalliaUPC" w:hAnsi="BrowalliaUPC" w:cs="BrowalliaUPC"/>
                <w:b w:val="0"/>
                <w:bCs w:val="0"/>
                <w:color w:val="0D0D0D" w:themeColor="text1" w:themeTint="F2"/>
                <w:sz w:val="24"/>
                <w:szCs w:val="24"/>
              </w:rPr>
            </w:pPr>
            <w:r w:rsidRPr="00035461">
              <w:rPr>
                <w:rFonts w:ascii="BrowalliaUPC" w:hAnsi="BrowalliaUPC" w:cs="BrowalliaUPC"/>
                <w:b w:val="0"/>
                <w:bCs w:val="0"/>
                <w:color w:val="0D0D0D" w:themeColor="text1" w:themeTint="F2"/>
                <w:sz w:val="24"/>
                <w:szCs w:val="24"/>
              </w:rPr>
              <w:t>Casa Pascal Restaurant – 590 m (7 minutes by foot)</w:t>
            </w:r>
          </w:p>
          <w:p w:rsidR="0038549B" w:rsidRPr="00035461" w:rsidRDefault="0038549B" w:rsidP="00606D35">
            <w:pPr>
              <w:pStyle w:val="ListParagraph"/>
              <w:numPr>
                <w:ilvl w:val="0"/>
                <w:numId w:val="13"/>
              </w:numPr>
              <w:rPr>
                <w:rFonts w:ascii="BrowalliaUPC" w:hAnsi="BrowalliaUPC" w:cs="BrowalliaUPC"/>
                <w:b w:val="0"/>
                <w:bCs w:val="0"/>
                <w:color w:val="0D0D0D" w:themeColor="text1" w:themeTint="F2"/>
                <w:sz w:val="24"/>
                <w:szCs w:val="24"/>
              </w:rPr>
            </w:pPr>
            <w:r w:rsidRPr="00035461">
              <w:rPr>
                <w:rFonts w:ascii="BrowalliaUPC" w:hAnsi="BrowalliaUPC" w:cs="BrowalliaUPC"/>
                <w:b w:val="0"/>
                <w:bCs w:val="0"/>
                <w:color w:val="0D0D0D" w:themeColor="text1" w:themeTint="F2"/>
                <w:sz w:val="24"/>
                <w:szCs w:val="24"/>
              </w:rPr>
              <w:t xml:space="preserve">Pizza </w:t>
            </w:r>
            <w:proofErr w:type="spellStart"/>
            <w:r w:rsidRPr="00035461">
              <w:rPr>
                <w:rFonts w:ascii="BrowalliaUPC" w:hAnsi="BrowalliaUPC" w:cs="BrowalliaUPC"/>
                <w:b w:val="0"/>
                <w:bCs w:val="0"/>
                <w:color w:val="0D0D0D" w:themeColor="text1" w:themeTint="F2"/>
                <w:sz w:val="24"/>
                <w:szCs w:val="24"/>
              </w:rPr>
              <w:t>Pizza</w:t>
            </w:r>
            <w:proofErr w:type="spellEnd"/>
            <w:r w:rsidRPr="00035461">
              <w:rPr>
                <w:rFonts w:ascii="BrowalliaUPC" w:hAnsi="BrowalliaUPC" w:cs="BrowalliaUPC"/>
                <w:b w:val="0"/>
                <w:bCs w:val="0"/>
                <w:color w:val="0D0D0D" w:themeColor="text1" w:themeTint="F2"/>
                <w:sz w:val="24"/>
                <w:szCs w:val="24"/>
              </w:rPr>
              <w:t xml:space="preserve"> By </w:t>
            </w:r>
            <w:proofErr w:type="spellStart"/>
            <w:r w:rsidRPr="00035461">
              <w:rPr>
                <w:rFonts w:ascii="BrowalliaUPC" w:hAnsi="BrowalliaUPC" w:cs="BrowalliaUPC"/>
                <w:b w:val="0"/>
                <w:bCs w:val="0"/>
                <w:color w:val="0D0D0D" w:themeColor="text1" w:themeTint="F2"/>
                <w:sz w:val="24"/>
                <w:szCs w:val="24"/>
              </w:rPr>
              <w:t>Yanee</w:t>
            </w:r>
            <w:proofErr w:type="spellEnd"/>
            <w:r w:rsidRPr="00035461">
              <w:rPr>
                <w:rFonts w:ascii="BrowalliaUPC" w:hAnsi="BrowalliaUPC" w:cs="BrowalliaUPC"/>
                <w:b w:val="0"/>
                <w:bCs w:val="0"/>
                <w:color w:val="0D0D0D" w:themeColor="text1" w:themeTint="F2"/>
                <w:sz w:val="24"/>
                <w:szCs w:val="24"/>
              </w:rPr>
              <w:t xml:space="preserve"> – 670 m (8 minutes by foot)</w:t>
            </w:r>
          </w:p>
          <w:p w:rsidR="0038549B" w:rsidRPr="00035461" w:rsidRDefault="0038549B" w:rsidP="0038549B">
            <w:pPr>
              <w:rPr>
                <w:rFonts w:ascii="BrowalliaUPC" w:hAnsi="BrowalliaUPC" w:cs="BrowalliaUPC"/>
                <w:color w:val="0D0D0D" w:themeColor="text1" w:themeTint="F2"/>
                <w:sz w:val="24"/>
                <w:szCs w:val="24"/>
              </w:rPr>
            </w:pPr>
            <w:r w:rsidRPr="00035461">
              <w:rPr>
                <w:rFonts w:ascii="BrowalliaUPC" w:hAnsi="BrowalliaUPC" w:cs="BrowalliaUPC"/>
                <w:color w:val="0D0D0D" w:themeColor="text1" w:themeTint="F2"/>
                <w:sz w:val="24"/>
                <w:szCs w:val="24"/>
              </w:rPr>
              <w:t>Hospital</w:t>
            </w:r>
          </w:p>
          <w:p w:rsidR="0038549B" w:rsidRPr="00035461" w:rsidRDefault="0038549B" w:rsidP="00606D35">
            <w:pPr>
              <w:pStyle w:val="ListParagraph"/>
              <w:numPr>
                <w:ilvl w:val="0"/>
                <w:numId w:val="14"/>
              </w:numPr>
              <w:rPr>
                <w:rFonts w:ascii="BrowalliaUPC" w:hAnsi="BrowalliaUPC" w:cs="BrowalliaUPC"/>
                <w:b w:val="0"/>
                <w:bCs w:val="0"/>
                <w:color w:val="0D0D0D" w:themeColor="text1" w:themeTint="F2"/>
                <w:sz w:val="24"/>
                <w:szCs w:val="24"/>
              </w:rPr>
            </w:pPr>
            <w:proofErr w:type="spellStart"/>
            <w:r w:rsidRPr="00035461">
              <w:rPr>
                <w:rFonts w:ascii="BrowalliaUPC" w:hAnsi="BrowalliaUPC" w:cs="BrowalliaUPC"/>
                <w:b w:val="0"/>
                <w:bCs w:val="0"/>
                <w:color w:val="0D0D0D" w:themeColor="text1" w:themeTint="F2"/>
                <w:sz w:val="24"/>
                <w:szCs w:val="24"/>
              </w:rPr>
              <w:t>Pattaya</w:t>
            </w:r>
            <w:proofErr w:type="spellEnd"/>
            <w:r w:rsidRPr="00035461">
              <w:rPr>
                <w:rFonts w:ascii="BrowalliaUPC" w:hAnsi="BrowalliaUPC" w:cs="BrowalliaUPC"/>
                <w:b w:val="0"/>
                <w:bCs w:val="0"/>
                <w:color w:val="0D0D0D" w:themeColor="text1" w:themeTint="F2"/>
                <w:sz w:val="24"/>
                <w:szCs w:val="24"/>
              </w:rPr>
              <w:t xml:space="preserve"> Memorial Hospital- 800 m (10 minutes by foot)</w:t>
            </w:r>
          </w:p>
          <w:p w:rsidR="0038549B" w:rsidRPr="00035461" w:rsidRDefault="0038549B" w:rsidP="004C1655">
            <w:pPr>
              <w:rPr>
                <w:rFonts w:ascii="BrowalliaUPC" w:hAnsi="BrowalliaUPC" w:cs="BrowalliaUPC"/>
                <w:color w:val="0D0D0D" w:themeColor="text1" w:themeTint="F2"/>
                <w:sz w:val="24"/>
                <w:szCs w:val="24"/>
              </w:rPr>
            </w:pPr>
            <w:r w:rsidRPr="00035461">
              <w:rPr>
                <w:rFonts w:ascii="BrowalliaUPC" w:hAnsi="BrowalliaUPC" w:cs="BrowalliaUPC"/>
                <w:color w:val="0D0D0D" w:themeColor="text1" w:themeTint="F2"/>
                <w:sz w:val="24"/>
                <w:szCs w:val="24"/>
              </w:rPr>
              <w:t>Etc.</w:t>
            </w:r>
          </w:p>
        </w:tc>
      </w:tr>
      <w:tr w:rsidR="004C1655" w:rsidRPr="004C1655" w:rsidTr="00606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shd w:val="clear" w:color="auto" w:fill="FFCE33"/>
          </w:tcPr>
          <w:p w:rsidR="004C1655" w:rsidRPr="004C1655" w:rsidRDefault="004C1655" w:rsidP="004C1655">
            <w:pPr>
              <w:rPr>
                <w:rFonts w:ascii="BrowalliaUPC" w:hAnsi="BrowalliaUPC" w:cs="BrowalliaUPC"/>
                <w:b w:val="0"/>
                <w:bCs w:val="0"/>
                <w:color w:val="0D0D0D" w:themeColor="text1" w:themeTint="F2"/>
                <w:sz w:val="24"/>
                <w:szCs w:val="24"/>
              </w:rPr>
            </w:pPr>
            <w:r w:rsidRPr="00DC794E">
              <w:rPr>
                <w:rFonts w:ascii="Times New Roman" w:hAnsi="Times New Roman" w:cs="Times New Roman"/>
                <w:color w:val="0D0D0D" w:themeColor="text1" w:themeTint="F2"/>
                <w:sz w:val="28"/>
              </w:rPr>
              <w:t>Room Detail</w:t>
            </w:r>
            <w:r w:rsidRPr="00DC794E">
              <w:rPr>
                <w:rFonts w:ascii="Times New Roman" w:hAnsi="Times New Roman" w:cs="Times New Roman"/>
                <w:color w:val="0D0D0D" w:themeColor="text1" w:themeTint="F2"/>
                <w:sz w:val="28"/>
              </w:rPr>
              <w:t xml:space="preserve"> :</w:t>
            </w:r>
          </w:p>
        </w:tc>
      </w:tr>
      <w:tr w:rsidR="0038549B" w:rsidRPr="004C1655" w:rsidTr="000354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right w:val="none" w:sz="0" w:space="0" w:color="auto"/>
            </w:tcBorders>
          </w:tcPr>
          <w:p w:rsidR="004C1655" w:rsidRPr="004C1655" w:rsidRDefault="004C1655" w:rsidP="004C1655">
            <w:pPr>
              <w:rPr>
                <w:rFonts w:ascii="BrowalliaUPC" w:hAnsi="BrowalliaUPC" w:cs="BrowalliaUPC"/>
                <w:b w:val="0"/>
                <w:bCs w:val="0"/>
                <w:color w:val="0D0D0D" w:themeColor="text1" w:themeTint="F2"/>
                <w:sz w:val="24"/>
                <w:szCs w:val="24"/>
              </w:rPr>
            </w:pPr>
            <w:r w:rsidRPr="004C1655">
              <w:rPr>
                <w:rFonts w:ascii="BrowalliaUPC" w:hAnsi="BrowalliaUPC" w:cs="BrowalliaUPC"/>
                <w:b w:val="0"/>
                <w:bCs w:val="0"/>
                <w:color w:val="0D0D0D" w:themeColor="text1" w:themeTint="F2"/>
                <w:sz w:val="24"/>
                <w:szCs w:val="24"/>
              </w:rPr>
              <w:t>Room Area</w:t>
            </w:r>
            <w:r w:rsidRPr="004C1655">
              <w:rPr>
                <w:rFonts w:ascii="BrowalliaUPC" w:hAnsi="BrowalliaUPC" w:cs="BrowalliaUPC"/>
                <w:b w:val="0"/>
                <w:bCs w:val="0"/>
                <w:color w:val="0D0D0D" w:themeColor="text1" w:themeTint="F2"/>
                <w:sz w:val="24"/>
                <w:szCs w:val="24"/>
              </w:rPr>
              <w:tab/>
              <w:t xml:space="preserve">: </w:t>
            </w:r>
            <w:r>
              <w:rPr>
                <w:rFonts w:ascii="BrowalliaUPC" w:hAnsi="BrowalliaUPC" w:cs="BrowalliaUPC"/>
                <w:b w:val="0"/>
                <w:bCs w:val="0"/>
                <w:color w:val="0D0D0D" w:themeColor="text1" w:themeTint="F2"/>
                <w:sz w:val="24"/>
                <w:szCs w:val="24"/>
              </w:rPr>
              <w:t xml:space="preserve">  </w:t>
            </w:r>
            <w:r w:rsidRPr="004C1655">
              <w:rPr>
                <w:rFonts w:ascii="BrowalliaUPC" w:hAnsi="BrowalliaUPC" w:cs="BrowalliaUPC"/>
                <w:b w:val="0"/>
                <w:bCs w:val="0"/>
                <w:color w:val="0D0D0D" w:themeColor="text1" w:themeTint="F2"/>
                <w:sz w:val="24"/>
                <w:szCs w:val="24"/>
              </w:rPr>
              <w:t xml:space="preserve">50.5 </w:t>
            </w:r>
            <w:proofErr w:type="spellStart"/>
            <w:r w:rsidRPr="004C1655">
              <w:rPr>
                <w:rFonts w:ascii="BrowalliaUPC" w:hAnsi="BrowalliaUPC" w:cs="BrowalliaUPC"/>
                <w:b w:val="0"/>
                <w:bCs w:val="0"/>
                <w:color w:val="0D0D0D" w:themeColor="text1" w:themeTint="F2"/>
                <w:sz w:val="24"/>
                <w:szCs w:val="24"/>
              </w:rPr>
              <w:t>sqm</w:t>
            </w:r>
            <w:proofErr w:type="spellEnd"/>
            <w:r w:rsidRPr="004C1655">
              <w:rPr>
                <w:rFonts w:ascii="BrowalliaUPC" w:hAnsi="BrowalliaUPC" w:cs="BrowalliaUPC"/>
                <w:b w:val="0"/>
                <w:bCs w:val="0"/>
                <w:color w:val="0D0D0D" w:themeColor="text1" w:themeTint="F2"/>
                <w:sz w:val="24"/>
                <w:szCs w:val="24"/>
              </w:rPr>
              <w:t xml:space="preserve"> </w:t>
            </w:r>
            <w:r w:rsidRPr="004C1655">
              <w:rPr>
                <w:rFonts w:ascii="BrowalliaUPC" w:hAnsi="BrowalliaUPC" w:cs="BrowalliaUPC"/>
                <w:b w:val="0"/>
                <w:bCs w:val="0"/>
                <w:color w:val="0D0D0D" w:themeColor="text1" w:themeTint="F2"/>
                <w:sz w:val="24"/>
                <w:szCs w:val="24"/>
              </w:rPr>
              <w:tab/>
            </w:r>
            <w:r w:rsidRPr="004C1655">
              <w:rPr>
                <w:rFonts w:ascii="BrowalliaUPC" w:hAnsi="BrowalliaUPC" w:cs="BrowalliaUPC"/>
                <w:b w:val="0"/>
                <w:bCs w:val="0"/>
                <w:color w:val="0D0D0D" w:themeColor="text1" w:themeTint="F2"/>
                <w:sz w:val="24"/>
                <w:szCs w:val="24"/>
              </w:rPr>
              <w:tab/>
            </w:r>
          </w:p>
          <w:p w:rsidR="004C1655" w:rsidRPr="004C1655" w:rsidRDefault="004C1655" w:rsidP="004C1655">
            <w:pPr>
              <w:rPr>
                <w:rFonts w:ascii="BrowalliaUPC" w:hAnsi="BrowalliaUPC" w:cs="BrowalliaUPC"/>
                <w:b w:val="0"/>
                <w:bCs w:val="0"/>
                <w:color w:val="0D0D0D" w:themeColor="text1" w:themeTint="F2"/>
                <w:sz w:val="24"/>
                <w:szCs w:val="24"/>
              </w:rPr>
            </w:pPr>
            <w:r w:rsidRPr="004C1655">
              <w:rPr>
                <w:rFonts w:ascii="BrowalliaUPC" w:hAnsi="BrowalliaUPC" w:cs="BrowalliaUPC"/>
                <w:b w:val="0"/>
                <w:bCs w:val="0"/>
                <w:color w:val="0D0D0D" w:themeColor="text1" w:themeTint="F2"/>
                <w:sz w:val="24"/>
                <w:szCs w:val="24"/>
              </w:rPr>
              <w:t>Living room</w:t>
            </w:r>
            <w:r w:rsidRPr="004C1655">
              <w:rPr>
                <w:rFonts w:ascii="BrowalliaUPC" w:hAnsi="BrowalliaUPC" w:cs="BrowalliaUPC"/>
                <w:b w:val="0"/>
                <w:bCs w:val="0"/>
                <w:color w:val="0D0D0D" w:themeColor="text1" w:themeTint="F2"/>
                <w:sz w:val="24"/>
                <w:szCs w:val="24"/>
              </w:rPr>
              <w:tab/>
              <w:t xml:space="preserve">: </w:t>
            </w:r>
            <w:r>
              <w:rPr>
                <w:rFonts w:ascii="BrowalliaUPC" w:hAnsi="BrowalliaUPC" w:cs="BrowalliaUPC"/>
                <w:b w:val="0"/>
                <w:bCs w:val="0"/>
                <w:color w:val="0D0D0D" w:themeColor="text1" w:themeTint="F2"/>
                <w:sz w:val="24"/>
                <w:szCs w:val="24"/>
              </w:rPr>
              <w:t xml:space="preserve">  </w:t>
            </w:r>
            <w:r w:rsidRPr="004C1655">
              <w:rPr>
                <w:rFonts w:ascii="BrowalliaUPC" w:hAnsi="BrowalliaUPC" w:cs="BrowalliaUPC"/>
                <w:b w:val="0"/>
                <w:bCs w:val="0"/>
                <w:color w:val="0D0D0D" w:themeColor="text1" w:themeTint="F2"/>
                <w:sz w:val="24"/>
                <w:szCs w:val="24"/>
              </w:rPr>
              <w:t xml:space="preserve">1 </w:t>
            </w:r>
            <w:r w:rsidRPr="004C1655">
              <w:rPr>
                <w:rFonts w:ascii="BrowalliaUPC" w:hAnsi="BrowalliaUPC" w:cs="BrowalliaUPC"/>
                <w:b w:val="0"/>
                <w:bCs w:val="0"/>
                <w:color w:val="0D0D0D" w:themeColor="text1" w:themeTint="F2"/>
                <w:sz w:val="24"/>
                <w:szCs w:val="24"/>
              </w:rPr>
              <w:tab/>
            </w:r>
            <w:r w:rsidRPr="004C1655">
              <w:rPr>
                <w:rFonts w:ascii="BrowalliaUPC" w:hAnsi="BrowalliaUPC" w:cs="BrowalliaUPC"/>
                <w:b w:val="0"/>
                <w:bCs w:val="0"/>
                <w:color w:val="0D0D0D" w:themeColor="text1" w:themeTint="F2"/>
                <w:sz w:val="24"/>
                <w:szCs w:val="24"/>
              </w:rPr>
              <w:tab/>
            </w:r>
          </w:p>
          <w:p w:rsidR="004C1655" w:rsidRPr="004C1655" w:rsidRDefault="004C1655" w:rsidP="004C1655">
            <w:pPr>
              <w:rPr>
                <w:rFonts w:ascii="BrowalliaUPC" w:hAnsi="BrowalliaUPC" w:cs="BrowalliaUPC"/>
                <w:b w:val="0"/>
                <w:bCs w:val="0"/>
                <w:color w:val="0D0D0D" w:themeColor="text1" w:themeTint="F2"/>
                <w:sz w:val="24"/>
                <w:szCs w:val="24"/>
              </w:rPr>
            </w:pPr>
            <w:r w:rsidRPr="004C1655">
              <w:rPr>
                <w:rFonts w:ascii="BrowalliaUPC" w:hAnsi="BrowalliaUPC" w:cs="BrowalliaUPC"/>
                <w:b w:val="0"/>
                <w:bCs w:val="0"/>
                <w:color w:val="0D0D0D" w:themeColor="text1" w:themeTint="F2"/>
                <w:sz w:val="24"/>
                <w:szCs w:val="24"/>
              </w:rPr>
              <w:t>Bedrooms</w:t>
            </w:r>
            <w:r>
              <w:rPr>
                <w:rFonts w:ascii="BrowalliaUPC" w:hAnsi="BrowalliaUPC" w:cs="BrowalliaUPC"/>
                <w:b w:val="0"/>
                <w:bCs w:val="0"/>
                <w:color w:val="0D0D0D" w:themeColor="text1" w:themeTint="F2"/>
                <w:sz w:val="24"/>
                <w:szCs w:val="24"/>
              </w:rPr>
              <w:t xml:space="preserve"> </w:t>
            </w:r>
            <w:r w:rsidRPr="004C1655">
              <w:rPr>
                <w:rFonts w:ascii="BrowalliaUPC" w:hAnsi="BrowalliaUPC" w:cs="BrowalliaUPC"/>
                <w:b w:val="0"/>
                <w:bCs w:val="0"/>
                <w:color w:val="0D0D0D" w:themeColor="text1" w:themeTint="F2"/>
                <w:sz w:val="24"/>
                <w:szCs w:val="24"/>
              </w:rPr>
              <w:tab/>
              <w:t xml:space="preserve">: </w:t>
            </w:r>
            <w:r>
              <w:rPr>
                <w:rFonts w:ascii="BrowalliaUPC" w:hAnsi="BrowalliaUPC" w:cs="BrowalliaUPC"/>
                <w:b w:val="0"/>
                <w:bCs w:val="0"/>
                <w:color w:val="0D0D0D" w:themeColor="text1" w:themeTint="F2"/>
                <w:sz w:val="24"/>
                <w:szCs w:val="24"/>
              </w:rPr>
              <w:t xml:space="preserve">  </w:t>
            </w:r>
            <w:r w:rsidRPr="004C1655">
              <w:rPr>
                <w:rFonts w:ascii="BrowalliaUPC" w:hAnsi="BrowalliaUPC" w:cs="BrowalliaUPC"/>
                <w:b w:val="0"/>
                <w:bCs w:val="0"/>
                <w:color w:val="0D0D0D" w:themeColor="text1" w:themeTint="F2"/>
                <w:sz w:val="24"/>
                <w:szCs w:val="24"/>
              </w:rPr>
              <w:t>2</w:t>
            </w:r>
            <w:r w:rsidRPr="004C1655">
              <w:rPr>
                <w:rFonts w:ascii="BrowalliaUPC" w:hAnsi="BrowalliaUPC" w:cs="BrowalliaUPC"/>
                <w:b w:val="0"/>
                <w:bCs w:val="0"/>
                <w:color w:val="0D0D0D" w:themeColor="text1" w:themeTint="F2"/>
                <w:sz w:val="24"/>
                <w:szCs w:val="24"/>
              </w:rPr>
              <w:tab/>
            </w:r>
            <w:r w:rsidRPr="004C1655">
              <w:rPr>
                <w:rFonts w:ascii="BrowalliaUPC" w:hAnsi="BrowalliaUPC" w:cs="BrowalliaUPC"/>
                <w:b w:val="0"/>
                <w:bCs w:val="0"/>
                <w:color w:val="0D0D0D" w:themeColor="text1" w:themeTint="F2"/>
                <w:sz w:val="24"/>
                <w:szCs w:val="24"/>
              </w:rPr>
              <w:tab/>
            </w:r>
            <w:r w:rsidRPr="004C1655">
              <w:rPr>
                <w:rFonts w:ascii="BrowalliaUPC" w:hAnsi="BrowalliaUPC" w:cs="BrowalliaUPC"/>
                <w:b w:val="0"/>
                <w:bCs w:val="0"/>
                <w:color w:val="0D0D0D" w:themeColor="text1" w:themeTint="F2"/>
                <w:sz w:val="24"/>
                <w:szCs w:val="24"/>
              </w:rPr>
              <w:tab/>
            </w:r>
          </w:p>
          <w:p w:rsidR="0038549B" w:rsidRDefault="004C1655" w:rsidP="00035461">
            <w:pPr>
              <w:rPr>
                <w:rFonts w:ascii="BrowalliaUPC" w:hAnsi="BrowalliaUPC" w:cs="BrowalliaUPC"/>
                <w:b w:val="0"/>
                <w:bCs w:val="0"/>
                <w:color w:val="0D0D0D" w:themeColor="text1" w:themeTint="F2"/>
                <w:sz w:val="24"/>
                <w:szCs w:val="24"/>
              </w:rPr>
            </w:pPr>
            <w:r w:rsidRPr="004C1655">
              <w:rPr>
                <w:rFonts w:ascii="BrowalliaUPC" w:hAnsi="BrowalliaUPC" w:cs="BrowalliaUPC"/>
                <w:b w:val="0"/>
                <w:bCs w:val="0"/>
                <w:color w:val="0D0D0D" w:themeColor="text1" w:themeTint="F2"/>
                <w:sz w:val="24"/>
                <w:szCs w:val="24"/>
              </w:rPr>
              <w:t>Air Conditions</w:t>
            </w:r>
            <w:r w:rsidRPr="004C1655">
              <w:rPr>
                <w:rFonts w:ascii="BrowalliaUPC" w:hAnsi="BrowalliaUPC" w:cs="BrowalliaUPC"/>
                <w:b w:val="0"/>
                <w:bCs w:val="0"/>
                <w:color w:val="0D0D0D" w:themeColor="text1" w:themeTint="F2"/>
                <w:sz w:val="24"/>
                <w:szCs w:val="24"/>
              </w:rPr>
              <w:tab/>
              <w:t xml:space="preserve">: </w:t>
            </w:r>
            <w:r>
              <w:rPr>
                <w:rFonts w:ascii="BrowalliaUPC" w:hAnsi="BrowalliaUPC" w:cs="BrowalliaUPC"/>
                <w:b w:val="0"/>
                <w:bCs w:val="0"/>
                <w:color w:val="0D0D0D" w:themeColor="text1" w:themeTint="F2"/>
                <w:sz w:val="24"/>
                <w:szCs w:val="24"/>
              </w:rPr>
              <w:t xml:space="preserve">  </w:t>
            </w:r>
            <w:r w:rsidRPr="004C1655">
              <w:rPr>
                <w:rFonts w:ascii="BrowalliaUPC" w:hAnsi="BrowalliaUPC" w:cs="BrowalliaUPC"/>
                <w:b w:val="0"/>
                <w:bCs w:val="0"/>
                <w:color w:val="0D0D0D" w:themeColor="text1" w:themeTint="F2"/>
                <w:sz w:val="24"/>
                <w:szCs w:val="24"/>
              </w:rPr>
              <w:t>3</w:t>
            </w:r>
          </w:p>
          <w:p w:rsidR="00035461" w:rsidRPr="00035461" w:rsidRDefault="00035461" w:rsidP="00035461">
            <w:pPr>
              <w:rPr>
                <w:rFonts w:ascii="BrowalliaUPC" w:hAnsi="BrowalliaUPC" w:cs="BrowalliaUPC"/>
                <w:b w:val="0"/>
                <w:bCs w:val="0"/>
                <w:color w:val="0D0D0D" w:themeColor="text1" w:themeTint="F2"/>
                <w:sz w:val="24"/>
                <w:szCs w:val="24"/>
              </w:rPr>
            </w:pPr>
            <w:r w:rsidRPr="00035461">
              <w:rPr>
                <w:rFonts w:ascii="BrowalliaUPC" w:hAnsi="BrowalliaUPC" w:cs="BrowalliaUPC"/>
                <w:b w:val="0"/>
                <w:bCs w:val="0"/>
                <w:color w:val="0D0D0D" w:themeColor="text1" w:themeTint="F2"/>
                <w:sz w:val="24"/>
                <w:szCs w:val="24"/>
              </w:rPr>
              <w:t>Selling Price</w:t>
            </w:r>
            <w:r w:rsidRPr="00035461">
              <w:rPr>
                <w:rFonts w:ascii="BrowalliaUPC" w:hAnsi="BrowalliaUPC" w:cs="BrowalliaUPC"/>
                <w:b w:val="0"/>
                <w:bCs w:val="0"/>
                <w:color w:val="0D0D0D" w:themeColor="text1" w:themeTint="F2"/>
                <w:sz w:val="24"/>
                <w:szCs w:val="24"/>
              </w:rPr>
              <w:tab/>
              <w:t>:</w:t>
            </w:r>
            <w:r w:rsidRPr="00035461">
              <w:rPr>
                <w:rFonts w:ascii="BrowalliaUPC" w:hAnsi="BrowalliaUPC" w:cs="BrowalliaUPC"/>
                <w:b w:val="0"/>
                <w:bCs w:val="0"/>
                <w:color w:val="0D0D0D" w:themeColor="text1" w:themeTint="F2"/>
                <w:sz w:val="24"/>
                <w:szCs w:val="24"/>
              </w:rPr>
              <w:tab/>
            </w:r>
            <w:r w:rsidRPr="00035461">
              <w:rPr>
                <w:rFonts w:ascii="BrowalliaUPC" w:hAnsi="BrowalliaUPC" w:cs="BrowalliaUPC"/>
                <w:b w:val="0"/>
                <w:bCs w:val="0"/>
                <w:color w:val="0D0D0D" w:themeColor="text1" w:themeTint="F2"/>
                <w:sz w:val="24"/>
                <w:szCs w:val="24"/>
              </w:rPr>
              <w:tab/>
            </w:r>
            <w:r w:rsidRPr="00035461">
              <w:rPr>
                <w:rFonts w:ascii="BrowalliaUPC" w:hAnsi="BrowalliaUPC" w:cs="BrowalliaUPC"/>
                <w:b w:val="0"/>
                <w:bCs w:val="0"/>
                <w:color w:val="0D0D0D" w:themeColor="text1" w:themeTint="F2"/>
                <w:sz w:val="24"/>
                <w:szCs w:val="24"/>
              </w:rPr>
              <w:tab/>
            </w:r>
          </w:p>
          <w:p w:rsidR="00035461" w:rsidRPr="004C1655" w:rsidRDefault="00035461" w:rsidP="00035461">
            <w:pPr>
              <w:rPr>
                <w:rFonts w:ascii="BrowalliaUPC" w:hAnsi="BrowalliaUPC" w:cs="BrowalliaUPC"/>
                <w:b w:val="0"/>
                <w:bCs w:val="0"/>
                <w:color w:val="0D0D0D" w:themeColor="text1" w:themeTint="F2"/>
                <w:sz w:val="24"/>
                <w:szCs w:val="24"/>
              </w:rPr>
            </w:pPr>
            <w:r w:rsidRPr="00035461">
              <w:rPr>
                <w:rFonts w:ascii="BrowalliaUPC" w:hAnsi="BrowalliaUPC" w:cs="BrowalliaUPC"/>
                <w:b w:val="0"/>
                <w:bCs w:val="0"/>
                <w:color w:val="0D0D0D" w:themeColor="text1" w:themeTint="F2"/>
                <w:sz w:val="24"/>
                <w:szCs w:val="24"/>
              </w:rPr>
              <w:t xml:space="preserve">Price per </w:t>
            </w:r>
            <w:proofErr w:type="spellStart"/>
            <w:r w:rsidRPr="00035461">
              <w:rPr>
                <w:rFonts w:ascii="BrowalliaUPC" w:hAnsi="BrowalliaUPC" w:cs="BrowalliaUPC"/>
                <w:b w:val="0"/>
                <w:bCs w:val="0"/>
                <w:color w:val="0D0D0D" w:themeColor="text1" w:themeTint="F2"/>
                <w:sz w:val="24"/>
                <w:szCs w:val="24"/>
              </w:rPr>
              <w:t>sq.m</w:t>
            </w:r>
            <w:proofErr w:type="spellEnd"/>
            <w:r w:rsidRPr="00035461">
              <w:rPr>
                <w:rFonts w:ascii="BrowalliaUPC" w:hAnsi="BrowalliaUPC" w:cs="BrowalliaUPC"/>
                <w:b w:val="0"/>
                <w:bCs w:val="0"/>
                <w:color w:val="0D0D0D" w:themeColor="text1" w:themeTint="F2"/>
                <w:sz w:val="24"/>
                <w:szCs w:val="24"/>
              </w:rPr>
              <w:t>.</w:t>
            </w:r>
            <w:r w:rsidRPr="00035461">
              <w:rPr>
                <w:rFonts w:ascii="BrowalliaUPC" w:hAnsi="BrowalliaUPC" w:cs="BrowalliaUPC"/>
                <w:b w:val="0"/>
                <w:bCs w:val="0"/>
                <w:color w:val="0D0D0D" w:themeColor="text1" w:themeTint="F2"/>
                <w:sz w:val="24"/>
                <w:szCs w:val="24"/>
              </w:rPr>
              <w:tab/>
              <w:t>:</w:t>
            </w:r>
          </w:p>
        </w:tc>
        <w:tc>
          <w:tcPr>
            <w:tcW w:w="4788" w:type="dxa"/>
            <w:tcBorders>
              <w:left w:val="none" w:sz="0" w:space="0" w:color="auto"/>
            </w:tcBorders>
          </w:tcPr>
          <w:p w:rsidR="004C1655" w:rsidRPr="004C1655" w:rsidRDefault="004C1655" w:rsidP="0092792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rowalliaUPC" w:hAnsi="BrowalliaUPC" w:cs="BrowalliaUPC"/>
                <w:color w:val="0D0D0D" w:themeColor="text1" w:themeTint="F2"/>
                <w:sz w:val="24"/>
                <w:szCs w:val="24"/>
              </w:rPr>
            </w:pPr>
            <w:r w:rsidRPr="004C1655">
              <w:rPr>
                <w:rFonts w:ascii="BrowalliaUPC" w:hAnsi="BrowalliaUPC" w:cs="BrowalliaUPC"/>
                <w:color w:val="0D0D0D" w:themeColor="text1" w:themeTint="F2"/>
                <w:sz w:val="24"/>
                <w:szCs w:val="24"/>
              </w:rPr>
              <w:t>Floor</w:t>
            </w:r>
            <w:r w:rsidRPr="004C1655">
              <w:rPr>
                <w:rFonts w:ascii="BrowalliaUPC" w:hAnsi="BrowalliaUPC" w:cs="BrowalliaUPC"/>
                <w:color w:val="0D0D0D" w:themeColor="text1" w:themeTint="F2"/>
                <w:sz w:val="24"/>
                <w:szCs w:val="24"/>
              </w:rPr>
              <w:tab/>
            </w:r>
            <w:r>
              <w:rPr>
                <w:rFonts w:ascii="BrowalliaUPC" w:hAnsi="BrowalliaUPC" w:cs="BrowalliaUPC"/>
                <w:color w:val="0D0D0D" w:themeColor="text1" w:themeTint="F2"/>
                <w:sz w:val="24"/>
                <w:szCs w:val="24"/>
              </w:rPr>
              <w:t xml:space="preserve">   </w:t>
            </w:r>
            <w:r w:rsidRPr="004C1655">
              <w:rPr>
                <w:rFonts w:ascii="BrowalliaUPC" w:hAnsi="BrowalliaUPC" w:cs="BrowalliaUPC"/>
                <w:color w:val="0D0D0D" w:themeColor="text1" w:themeTint="F2"/>
                <w:sz w:val="24"/>
                <w:szCs w:val="24"/>
              </w:rPr>
              <w:t>:  Mid Floor</w:t>
            </w:r>
          </w:p>
          <w:p w:rsidR="004C1655" w:rsidRPr="004C1655" w:rsidRDefault="004C1655" w:rsidP="004C16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rowalliaUPC" w:hAnsi="BrowalliaUPC" w:cs="BrowalliaUPC"/>
                <w:color w:val="0D0D0D" w:themeColor="text1" w:themeTint="F2"/>
                <w:sz w:val="24"/>
                <w:szCs w:val="24"/>
              </w:rPr>
            </w:pPr>
            <w:r w:rsidRPr="004C1655">
              <w:rPr>
                <w:rFonts w:ascii="BrowalliaUPC" w:hAnsi="BrowalliaUPC" w:cs="BrowalliaUPC"/>
                <w:color w:val="0D0D0D" w:themeColor="text1" w:themeTint="F2"/>
                <w:sz w:val="24"/>
                <w:szCs w:val="24"/>
              </w:rPr>
              <w:t>View</w:t>
            </w:r>
            <w:r w:rsidRPr="004C1655">
              <w:rPr>
                <w:rFonts w:ascii="BrowalliaUPC" w:hAnsi="BrowalliaUPC" w:cs="BrowalliaUPC"/>
                <w:color w:val="0D0D0D" w:themeColor="text1" w:themeTint="F2"/>
                <w:sz w:val="24"/>
                <w:szCs w:val="24"/>
              </w:rPr>
              <w:tab/>
            </w:r>
            <w:r>
              <w:rPr>
                <w:rFonts w:ascii="BrowalliaUPC" w:hAnsi="BrowalliaUPC" w:cs="BrowalliaUPC"/>
                <w:color w:val="0D0D0D" w:themeColor="text1" w:themeTint="F2"/>
                <w:sz w:val="24"/>
                <w:szCs w:val="24"/>
              </w:rPr>
              <w:t xml:space="preserve">   </w:t>
            </w:r>
            <w:r w:rsidRPr="004C1655">
              <w:rPr>
                <w:rFonts w:ascii="BrowalliaUPC" w:hAnsi="BrowalliaUPC" w:cs="BrowalliaUPC"/>
                <w:color w:val="0D0D0D" w:themeColor="text1" w:themeTint="F2"/>
                <w:sz w:val="24"/>
                <w:szCs w:val="24"/>
              </w:rPr>
              <w:t>:  Sea View</w:t>
            </w:r>
          </w:p>
          <w:p w:rsidR="004C1655" w:rsidRPr="004C1655" w:rsidRDefault="004C1655" w:rsidP="004C16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rowalliaUPC" w:hAnsi="BrowalliaUPC" w:cs="BrowalliaUPC"/>
                <w:color w:val="0D0D0D" w:themeColor="text1" w:themeTint="F2"/>
                <w:sz w:val="24"/>
                <w:szCs w:val="24"/>
              </w:rPr>
            </w:pPr>
            <w:r w:rsidRPr="004C1655">
              <w:rPr>
                <w:rFonts w:ascii="BrowalliaUPC" w:hAnsi="BrowalliaUPC" w:cs="BrowalliaUPC"/>
                <w:color w:val="0D0D0D" w:themeColor="text1" w:themeTint="F2"/>
                <w:sz w:val="24"/>
                <w:szCs w:val="24"/>
              </w:rPr>
              <w:t>Bathrooms</w:t>
            </w:r>
            <w:r>
              <w:rPr>
                <w:rFonts w:ascii="BrowalliaUPC" w:hAnsi="BrowalliaUPC" w:cs="BrowalliaUPC"/>
                <w:color w:val="0D0D0D" w:themeColor="text1" w:themeTint="F2"/>
                <w:sz w:val="24"/>
                <w:szCs w:val="24"/>
              </w:rPr>
              <w:t xml:space="preserve">  </w:t>
            </w:r>
            <w:r w:rsidRPr="004C1655">
              <w:rPr>
                <w:rFonts w:ascii="BrowalliaUPC" w:hAnsi="BrowalliaUPC" w:cs="BrowalliaUPC"/>
                <w:color w:val="0D0D0D" w:themeColor="text1" w:themeTint="F2"/>
                <w:sz w:val="24"/>
                <w:szCs w:val="24"/>
              </w:rPr>
              <w:t>:  1</w:t>
            </w:r>
          </w:p>
          <w:p w:rsidR="004C1655" w:rsidRDefault="004C1655" w:rsidP="000354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rowalliaUPC" w:hAnsi="BrowalliaUPC" w:cs="BrowalliaUPC"/>
                <w:color w:val="0D0D0D" w:themeColor="text1" w:themeTint="F2"/>
                <w:sz w:val="24"/>
                <w:szCs w:val="24"/>
              </w:rPr>
            </w:pPr>
            <w:r w:rsidRPr="004C1655">
              <w:rPr>
                <w:rFonts w:ascii="BrowalliaUPC" w:hAnsi="BrowalliaUPC" w:cs="BrowalliaUPC"/>
                <w:color w:val="0D0D0D" w:themeColor="text1" w:themeTint="F2"/>
                <w:sz w:val="24"/>
                <w:szCs w:val="24"/>
              </w:rPr>
              <w:t>Balcony</w:t>
            </w:r>
            <w:r w:rsidRPr="004C1655">
              <w:rPr>
                <w:rFonts w:ascii="BrowalliaUPC" w:hAnsi="BrowalliaUPC" w:cs="BrowalliaUPC"/>
                <w:color w:val="0D0D0D" w:themeColor="text1" w:themeTint="F2"/>
                <w:sz w:val="24"/>
                <w:szCs w:val="24"/>
              </w:rPr>
              <w:tab/>
            </w:r>
            <w:r>
              <w:rPr>
                <w:rFonts w:ascii="BrowalliaUPC" w:hAnsi="BrowalliaUPC" w:cs="BrowalliaUPC"/>
                <w:color w:val="0D0D0D" w:themeColor="text1" w:themeTint="F2"/>
                <w:sz w:val="24"/>
                <w:szCs w:val="24"/>
              </w:rPr>
              <w:t xml:space="preserve">   </w:t>
            </w:r>
            <w:r w:rsidRPr="004C1655">
              <w:rPr>
                <w:rFonts w:ascii="BrowalliaUPC" w:hAnsi="BrowalliaUPC" w:cs="BrowalliaUPC"/>
                <w:color w:val="0D0D0D" w:themeColor="text1" w:themeTint="F2"/>
                <w:sz w:val="24"/>
                <w:szCs w:val="24"/>
              </w:rPr>
              <w:t xml:space="preserve">: </w:t>
            </w:r>
            <w:r>
              <w:rPr>
                <w:rFonts w:ascii="BrowalliaUPC" w:hAnsi="BrowalliaUPC" w:cs="BrowalliaUPC"/>
                <w:color w:val="0D0D0D" w:themeColor="text1" w:themeTint="F2"/>
                <w:sz w:val="24"/>
                <w:szCs w:val="24"/>
              </w:rPr>
              <w:t xml:space="preserve"> 1</w:t>
            </w:r>
          </w:p>
          <w:p w:rsidR="00035461" w:rsidRDefault="00035461" w:rsidP="000354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rowalliaUPC" w:hAnsi="BrowalliaUPC" w:cs="BrowalliaUPC"/>
                <w:color w:val="0D0D0D" w:themeColor="text1" w:themeTint="F2"/>
                <w:sz w:val="24"/>
                <w:szCs w:val="24"/>
              </w:rPr>
            </w:pPr>
            <w:r w:rsidRPr="00035461">
              <w:rPr>
                <w:rFonts w:ascii="BrowalliaUPC" w:hAnsi="BrowalliaUPC" w:cs="BrowalliaUPC"/>
                <w:color w:val="0D0D0D" w:themeColor="text1" w:themeTint="F2"/>
                <w:sz w:val="24"/>
                <w:szCs w:val="24"/>
              </w:rPr>
              <w:t>Rent</w:t>
            </w:r>
            <w:r w:rsidRPr="00035461">
              <w:rPr>
                <w:rFonts w:ascii="BrowalliaUPC" w:hAnsi="BrowalliaUPC" w:cs="BrowalliaUPC"/>
                <w:color w:val="0D0D0D" w:themeColor="text1" w:themeTint="F2"/>
                <w:sz w:val="24"/>
                <w:szCs w:val="24"/>
              </w:rPr>
              <w:tab/>
            </w:r>
            <w:r>
              <w:rPr>
                <w:rFonts w:ascii="BrowalliaUPC" w:hAnsi="BrowalliaUPC" w:cs="BrowalliaUPC"/>
                <w:color w:val="0D0D0D" w:themeColor="text1" w:themeTint="F2"/>
                <w:sz w:val="24"/>
                <w:szCs w:val="24"/>
              </w:rPr>
              <w:t xml:space="preserve">   :  -</w:t>
            </w:r>
            <w:r w:rsidRPr="00035461">
              <w:rPr>
                <w:rFonts w:ascii="BrowalliaUPC" w:hAnsi="BrowalliaUPC" w:cs="BrowalliaUPC"/>
                <w:color w:val="0D0D0D" w:themeColor="text1" w:themeTint="F2"/>
                <w:sz w:val="24"/>
                <w:szCs w:val="24"/>
              </w:rPr>
              <w:tab/>
            </w:r>
          </w:p>
          <w:p w:rsidR="00035461" w:rsidRPr="004C1655" w:rsidRDefault="00035461" w:rsidP="000354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rowalliaUPC" w:hAnsi="BrowalliaUPC" w:cs="BrowalliaUPC"/>
                <w:color w:val="0D0D0D" w:themeColor="text1" w:themeTint="F2"/>
                <w:sz w:val="24"/>
                <w:szCs w:val="24"/>
              </w:rPr>
            </w:pPr>
            <w:r w:rsidRPr="00035461">
              <w:rPr>
                <w:rFonts w:ascii="BrowalliaUPC" w:hAnsi="BrowalliaUPC" w:cs="BrowalliaUPC"/>
                <w:color w:val="0D0D0D" w:themeColor="text1" w:themeTint="F2"/>
                <w:sz w:val="24"/>
                <w:szCs w:val="24"/>
              </w:rPr>
              <w:t>Minimum Contract</w:t>
            </w:r>
            <w:r w:rsidRPr="00035461">
              <w:rPr>
                <w:rFonts w:ascii="BrowalliaUPC" w:hAnsi="BrowalliaUPC" w:cs="BrowalliaUPC"/>
                <w:color w:val="0D0D0D" w:themeColor="text1" w:themeTint="F2"/>
                <w:sz w:val="24"/>
                <w:szCs w:val="24"/>
              </w:rPr>
              <w:tab/>
              <w:t>:</w:t>
            </w:r>
            <w:r>
              <w:rPr>
                <w:rFonts w:ascii="BrowalliaUPC" w:hAnsi="BrowalliaUPC" w:cs="BrowalliaUPC"/>
                <w:color w:val="0D0D0D" w:themeColor="text1" w:themeTint="F2"/>
                <w:sz w:val="24"/>
                <w:szCs w:val="24"/>
              </w:rPr>
              <w:t xml:space="preserve">  -</w:t>
            </w:r>
          </w:p>
        </w:tc>
      </w:tr>
      <w:tr w:rsidR="0038549B" w:rsidRPr="004C1655" w:rsidTr="00606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right w:val="none" w:sz="0" w:space="0" w:color="auto"/>
            </w:tcBorders>
            <w:shd w:val="clear" w:color="auto" w:fill="FFCE33"/>
          </w:tcPr>
          <w:p w:rsidR="0038549B" w:rsidRPr="004C1655" w:rsidRDefault="004C1655" w:rsidP="0092792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C794E">
              <w:rPr>
                <w:rFonts w:ascii="Times New Roman" w:hAnsi="Times New Roman" w:cs="Times New Roman"/>
                <w:color w:val="0D0D0D" w:themeColor="text1" w:themeTint="F2"/>
                <w:sz w:val="28"/>
              </w:rPr>
              <w:t>Project Detail :</w:t>
            </w:r>
          </w:p>
        </w:tc>
        <w:tc>
          <w:tcPr>
            <w:tcW w:w="4788" w:type="dxa"/>
            <w:tcBorders>
              <w:left w:val="none" w:sz="0" w:space="0" w:color="auto"/>
            </w:tcBorders>
            <w:shd w:val="clear" w:color="auto" w:fill="FFCE33"/>
          </w:tcPr>
          <w:p w:rsidR="0038549B" w:rsidRPr="004C1655" w:rsidRDefault="0038549B" w:rsidP="009279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UPC" w:hAnsi="BrowalliaUPC" w:cs="BrowalliaUPC"/>
                <w:color w:val="0D0D0D" w:themeColor="text1" w:themeTint="F2"/>
                <w:sz w:val="24"/>
                <w:szCs w:val="24"/>
              </w:rPr>
            </w:pPr>
          </w:p>
        </w:tc>
      </w:tr>
      <w:tr w:rsidR="0038549B" w:rsidRPr="004C1655" w:rsidTr="000354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right w:val="none" w:sz="0" w:space="0" w:color="auto"/>
            </w:tcBorders>
          </w:tcPr>
          <w:p w:rsidR="004946C7" w:rsidRPr="004946C7" w:rsidRDefault="004946C7" w:rsidP="004946C7">
            <w:pPr>
              <w:rPr>
                <w:rFonts w:ascii="BrowalliaUPC" w:hAnsi="BrowalliaUPC" w:cs="BrowalliaUPC"/>
                <w:b w:val="0"/>
                <w:bCs w:val="0"/>
                <w:color w:val="0D0D0D" w:themeColor="text1" w:themeTint="F2"/>
                <w:sz w:val="24"/>
                <w:szCs w:val="24"/>
              </w:rPr>
            </w:pPr>
            <w:r w:rsidRPr="004946C7">
              <w:rPr>
                <w:rFonts w:ascii="BrowalliaUPC" w:hAnsi="BrowalliaUPC" w:cs="BrowalliaUPC"/>
                <w:b w:val="0"/>
                <w:bCs w:val="0"/>
                <w:color w:val="0D0D0D" w:themeColor="text1" w:themeTint="F2"/>
                <w:sz w:val="24"/>
                <w:szCs w:val="24"/>
              </w:rPr>
              <w:t>Land Area</w:t>
            </w:r>
            <w:r w:rsidRPr="004946C7">
              <w:rPr>
                <w:rFonts w:ascii="BrowalliaUPC" w:hAnsi="BrowalliaUPC" w:cs="BrowalliaUPC"/>
                <w:b w:val="0"/>
                <w:bCs w:val="0"/>
                <w:color w:val="0D0D0D" w:themeColor="text1" w:themeTint="F2"/>
                <w:sz w:val="24"/>
                <w:szCs w:val="24"/>
              </w:rPr>
              <w:tab/>
              <w:t xml:space="preserve">:   6-3-38 </w:t>
            </w:r>
            <w:proofErr w:type="spellStart"/>
            <w:r w:rsidRPr="004946C7">
              <w:rPr>
                <w:rFonts w:ascii="BrowalliaUPC" w:hAnsi="BrowalliaUPC" w:cs="BrowalliaUPC"/>
                <w:b w:val="0"/>
                <w:bCs w:val="0"/>
                <w:color w:val="0D0D0D" w:themeColor="text1" w:themeTint="F2"/>
                <w:sz w:val="24"/>
                <w:szCs w:val="24"/>
              </w:rPr>
              <w:t>Rai</w:t>
            </w:r>
            <w:proofErr w:type="spellEnd"/>
          </w:p>
          <w:p w:rsidR="004946C7" w:rsidRPr="004946C7" w:rsidRDefault="004946C7" w:rsidP="004946C7">
            <w:pPr>
              <w:rPr>
                <w:rFonts w:ascii="BrowalliaUPC" w:hAnsi="BrowalliaUPC" w:cs="BrowalliaUPC"/>
                <w:b w:val="0"/>
                <w:bCs w:val="0"/>
                <w:color w:val="0D0D0D" w:themeColor="text1" w:themeTint="F2"/>
                <w:sz w:val="24"/>
                <w:szCs w:val="24"/>
              </w:rPr>
            </w:pPr>
            <w:proofErr w:type="spellStart"/>
            <w:r w:rsidRPr="004946C7">
              <w:rPr>
                <w:rFonts w:ascii="BrowalliaUPC" w:hAnsi="BrowalliaUPC" w:cs="BrowalliaUPC"/>
                <w:b w:val="0"/>
                <w:bCs w:val="0"/>
                <w:color w:val="0D0D0D" w:themeColor="text1" w:themeTint="F2"/>
                <w:sz w:val="24"/>
                <w:szCs w:val="24"/>
              </w:rPr>
              <w:t>Storeys</w:t>
            </w:r>
            <w:proofErr w:type="spellEnd"/>
            <w:r w:rsidRPr="004946C7">
              <w:rPr>
                <w:rFonts w:ascii="BrowalliaUPC" w:hAnsi="BrowalliaUPC" w:cs="BrowalliaUPC"/>
                <w:b w:val="0"/>
                <w:bCs w:val="0"/>
                <w:color w:val="0D0D0D" w:themeColor="text1" w:themeTint="F2"/>
                <w:sz w:val="24"/>
                <w:szCs w:val="24"/>
              </w:rPr>
              <w:tab/>
            </w:r>
            <w:r w:rsidRPr="004946C7">
              <w:rPr>
                <w:rFonts w:ascii="BrowalliaUPC" w:hAnsi="BrowalliaUPC" w:cs="BrowalliaUPC"/>
                <w:b w:val="0"/>
                <w:bCs w:val="0"/>
                <w:color w:val="0D0D0D" w:themeColor="text1" w:themeTint="F2"/>
                <w:sz w:val="24"/>
                <w:szCs w:val="24"/>
              </w:rPr>
              <w:tab/>
              <w:t>:   31 and 27</w:t>
            </w:r>
          </w:p>
          <w:p w:rsidR="0038549B" w:rsidRDefault="004946C7" w:rsidP="004946C7">
            <w:pPr>
              <w:rPr>
                <w:rFonts w:ascii="BrowalliaUPC" w:hAnsi="BrowalliaUPC" w:cs="BrowalliaUPC"/>
                <w:b w:val="0"/>
                <w:bCs w:val="0"/>
                <w:color w:val="0D0D0D" w:themeColor="text1" w:themeTint="F2"/>
                <w:sz w:val="24"/>
                <w:szCs w:val="24"/>
              </w:rPr>
            </w:pPr>
            <w:r w:rsidRPr="004946C7">
              <w:rPr>
                <w:rFonts w:ascii="BrowalliaUPC" w:hAnsi="BrowalliaUPC" w:cs="BrowalliaUPC"/>
                <w:b w:val="0"/>
                <w:bCs w:val="0"/>
                <w:color w:val="0D0D0D" w:themeColor="text1" w:themeTint="F2"/>
                <w:sz w:val="24"/>
                <w:szCs w:val="24"/>
              </w:rPr>
              <w:t>Parking</w:t>
            </w:r>
            <w:r w:rsidRPr="004946C7">
              <w:rPr>
                <w:rFonts w:ascii="BrowalliaUPC" w:hAnsi="BrowalliaUPC" w:cs="BrowalliaUPC"/>
                <w:b w:val="0"/>
                <w:bCs w:val="0"/>
                <w:color w:val="0D0D0D" w:themeColor="text1" w:themeTint="F2"/>
                <w:sz w:val="24"/>
                <w:szCs w:val="24"/>
              </w:rPr>
              <w:tab/>
            </w:r>
            <w:r w:rsidRPr="004946C7">
              <w:rPr>
                <w:rFonts w:ascii="BrowalliaUPC" w:hAnsi="BrowalliaUPC" w:cs="BrowalliaUPC"/>
                <w:b w:val="0"/>
                <w:bCs w:val="0"/>
                <w:color w:val="0D0D0D" w:themeColor="text1" w:themeTint="F2"/>
                <w:sz w:val="24"/>
                <w:szCs w:val="24"/>
              </w:rPr>
              <w:tab/>
              <w:t xml:space="preserve">:  </w:t>
            </w:r>
            <w:r w:rsidR="00DC794E">
              <w:rPr>
                <w:rFonts w:ascii="BrowalliaUPC" w:hAnsi="BrowalliaUPC" w:cs="BrowalliaUPC"/>
                <w:b w:val="0"/>
                <w:bCs w:val="0"/>
                <w:color w:val="0D0D0D" w:themeColor="text1" w:themeTint="F2"/>
                <w:sz w:val="24"/>
                <w:szCs w:val="24"/>
              </w:rPr>
              <w:t xml:space="preserve"> </w:t>
            </w:r>
            <w:r w:rsidRPr="004946C7">
              <w:rPr>
                <w:rFonts w:ascii="BrowalliaUPC" w:hAnsi="BrowalliaUPC" w:cs="BrowalliaUPC"/>
                <w:b w:val="0"/>
                <w:bCs w:val="0"/>
                <w:color w:val="0D0D0D" w:themeColor="text1" w:themeTint="F2"/>
                <w:sz w:val="24"/>
                <w:szCs w:val="24"/>
              </w:rPr>
              <w:t xml:space="preserve">4 </w:t>
            </w:r>
            <w:proofErr w:type="spellStart"/>
            <w:r w:rsidRPr="004946C7">
              <w:rPr>
                <w:rFonts w:ascii="BrowalliaUPC" w:hAnsi="BrowalliaUPC" w:cs="BrowalliaUPC"/>
                <w:b w:val="0"/>
                <w:bCs w:val="0"/>
                <w:color w:val="0D0D0D" w:themeColor="text1" w:themeTint="F2"/>
                <w:sz w:val="24"/>
                <w:szCs w:val="24"/>
              </w:rPr>
              <w:t>storeys</w:t>
            </w:r>
            <w:proofErr w:type="spellEnd"/>
          </w:p>
          <w:p w:rsidR="004946C7" w:rsidRPr="004946C7" w:rsidRDefault="004946C7" w:rsidP="004946C7">
            <w:pPr>
              <w:rPr>
                <w:rFonts w:ascii="BrowalliaUPC" w:hAnsi="BrowalliaUPC" w:cs="BrowalliaUPC"/>
                <w:b w:val="0"/>
                <w:bCs w:val="0"/>
                <w:color w:val="0D0D0D" w:themeColor="text1" w:themeTint="F2"/>
                <w:sz w:val="24"/>
                <w:szCs w:val="24"/>
              </w:rPr>
            </w:pPr>
            <w:r w:rsidRPr="004946C7">
              <w:rPr>
                <w:rFonts w:ascii="BrowalliaUPC" w:hAnsi="BrowalliaUPC" w:cs="BrowalliaUPC"/>
                <w:b w:val="0"/>
                <w:bCs w:val="0"/>
                <w:color w:val="0D0D0D" w:themeColor="text1" w:themeTint="F2"/>
                <w:sz w:val="24"/>
                <w:szCs w:val="24"/>
              </w:rPr>
              <w:t>C</w:t>
            </w:r>
            <w:r w:rsidRPr="004946C7">
              <w:rPr>
                <w:rFonts w:ascii="BrowalliaUPC" w:hAnsi="BrowalliaUPC" w:cs="BrowalliaUPC"/>
                <w:b w:val="0"/>
                <w:bCs w:val="0"/>
                <w:color w:val="0D0D0D" w:themeColor="text1" w:themeTint="F2"/>
                <w:sz w:val="24"/>
                <w:szCs w:val="24"/>
              </w:rPr>
              <w:t xml:space="preserve">ompletion </w:t>
            </w:r>
            <w:r w:rsidRPr="004946C7">
              <w:rPr>
                <w:rFonts w:ascii="BrowalliaUPC" w:hAnsi="BrowalliaUPC" w:cs="BrowalliaUPC"/>
                <w:b w:val="0"/>
                <w:bCs w:val="0"/>
                <w:color w:val="0D0D0D" w:themeColor="text1" w:themeTint="F2"/>
                <w:sz w:val="24"/>
                <w:szCs w:val="24"/>
              </w:rPr>
              <w:t xml:space="preserve">           :  </w:t>
            </w:r>
            <w:r w:rsidR="00DC794E">
              <w:rPr>
                <w:rFonts w:ascii="BrowalliaUPC" w:hAnsi="BrowalliaUPC" w:cs="BrowalliaUPC"/>
                <w:b w:val="0"/>
                <w:bCs w:val="0"/>
                <w:color w:val="0D0D0D" w:themeColor="text1" w:themeTint="F2"/>
                <w:sz w:val="24"/>
                <w:szCs w:val="24"/>
              </w:rPr>
              <w:t xml:space="preserve"> </w:t>
            </w:r>
            <w:r w:rsidRPr="004946C7">
              <w:rPr>
                <w:rFonts w:ascii="BrowalliaUPC" w:hAnsi="BrowalliaUPC" w:cs="BrowalliaUPC"/>
                <w:b w:val="0"/>
                <w:bCs w:val="0"/>
                <w:color w:val="0D0D0D" w:themeColor="text1" w:themeTint="F2"/>
                <w:sz w:val="24"/>
                <w:szCs w:val="24"/>
              </w:rPr>
              <w:t>Q1 2016</w:t>
            </w:r>
          </w:p>
        </w:tc>
        <w:tc>
          <w:tcPr>
            <w:tcW w:w="4788" w:type="dxa"/>
            <w:tcBorders>
              <w:left w:val="none" w:sz="0" w:space="0" w:color="auto"/>
            </w:tcBorders>
          </w:tcPr>
          <w:p w:rsidR="004946C7" w:rsidRDefault="004946C7" w:rsidP="004946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rowalliaUPC" w:hAnsi="BrowalliaUPC" w:cs="BrowalliaUPC"/>
                <w:color w:val="0D0D0D" w:themeColor="text1" w:themeTint="F2"/>
                <w:sz w:val="24"/>
                <w:szCs w:val="24"/>
              </w:rPr>
            </w:pPr>
            <w:r>
              <w:rPr>
                <w:rFonts w:ascii="BrowalliaUPC" w:hAnsi="BrowalliaUPC" w:cs="BrowalliaUPC"/>
                <w:color w:val="0D0D0D" w:themeColor="text1" w:themeTint="F2"/>
                <w:sz w:val="24"/>
                <w:szCs w:val="24"/>
              </w:rPr>
              <w:t xml:space="preserve">Developer             </w:t>
            </w:r>
            <w:r w:rsidR="00DC794E">
              <w:rPr>
                <w:rFonts w:ascii="BrowalliaUPC" w:hAnsi="BrowalliaUPC" w:cs="BrowalliaUPC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BrowalliaUPC" w:hAnsi="BrowalliaUPC" w:cs="BrowalliaUPC"/>
                <w:color w:val="0D0D0D" w:themeColor="text1" w:themeTint="F2"/>
                <w:sz w:val="24"/>
                <w:szCs w:val="24"/>
              </w:rPr>
              <w:t xml:space="preserve">:   </w:t>
            </w:r>
            <w:proofErr w:type="spellStart"/>
            <w:r>
              <w:rPr>
                <w:rFonts w:ascii="BrowalliaUPC" w:hAnsi="BrowalliaUPC" w:cs="BrowalliaUPC"/>
                <w:color w:val="0D0D0D" w:themeColor="text1" w:themeTint="F2"/>
                <w:sz w:val="24"/>
                <w:szCs w:val="24"/>
              </w:rPr>
              <w:t>Sansiri</w:t>
            </w:r>
            <w:proofErr w:type="spellEnd"/>
          </w:p>
          <w:p w:rsidR="004946C7" w:rsidRPr="004946C7" w:rsidRDefault="004946C7" w:rsidP="004946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rowalliaUPC" w:hAnsi="BrowalliaUPC" w:cs="BrowalliaUPC"/>
                <w:color w:val="0D0D0D" w:themeColor="text1" w:themeTint="F2"/>
                <w:sz w:val="24"/>
                <w:szCs w:val="24"/>
              </w:rPr>
            </w:pPr>
            <w:r w:rsidRPr="004946C7">
              <w:rPr>
                <w:rFonts w:ascii="BrowalliaUPC" w:hAnsi="BrowalliaUPC" w:cs="BrowalliaUPC"/>
                <w:color w:val="0D0D0D" w:themeColor="text1" w:themeTint="F2"/>
                <w:sz w:val="24"/>
                <w:szCs w:val="24"/>
              </w:rPr>
              <w:t>Building</w:t>
            </w:r>
            <w:r w:rsidRPr="004946C7">
              <w:rPr>
                <w:rFonts w:ascii="BrowalliaUPC" w:hAnsi="BrowalliaUPC" w:cs="BrowalliaUPC"/>
                <w:color w:val="0D0D0D" w:themeColor="text1" w:themeTint="F2"/>
                <w:sz w:val="24"/>
                <w:szCs w:val="24"/>
              </w:rPr>
              <w:tab/>
            </w:r>
            <w:r w:rsidRPr="004946C7">
              <w:rPr>
                <w:rFonts w:ascii="BrowalliaUPC" w:hAnsi="BrowalliaUPC" w:cs="BrowalliaUPC"/>
                <w:color w:val="0D0D0D" w:themeColor="text1" w:themeTint="F2"/>
                <w:sz w:val="24"/>
                <w:szCs w:val="24"/>
              </w:rPr>
              <w:tab/>
              <w:t>:  2</w:t>
            </w:r>
          </w:p>
          <w:p w:rsidR="0038549B" w:rsidRPr="004C1655" w:rsidRDefault="004946C7" w:rsidP="004946C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rowalliaUPC" w:hAnsi="BrowalliaUPC" w:cs="BrowalliaUPC"/>
                <w:color w:val="0D0D0D" w:themeColor="text1" w:themeTint="F2"/>
                <w:sz w:val="24"/>
                <w:szCs w:val="24"/>
              </w:rPr>
            </w:pPr>
            <w:r w:rsidRPr="004946C7">
              <w:rPr>
                <w:rFonts w:ascii="BrowalliaUPC" w:hAnsi="BrowalliaUPC" w:cs="BrowalliaUPC"/>
                <w:color w:val="0D0D0D" w:themeColor="text1" w:themeTint="F2"/>
                <w:sz w:val="24"/>
                <w:szCs w:val="24"/>
              </w:rPr>
              <w:t>Total Unit</w:t>
            </w:r>
            <w:r w:rsidRPr="004946C7">
              <w:rPr>
                <w:rFonts w:ascii="BrowalliaUPC" w:hAnsi="BrowalliaUPC" w:cs="BrowalliaUPC"/>
                <w:color w:val="0D0D0D" w:themeColor="text1" w:themeTint="F2"/>
                <w:sz w:val="24"/>
                <w:szCs w:val="24"/>
              </w:rPr>
              <w:tab/>
            </w:r>
            <w:r w:rsidRPr="004946C7">
              <w:rPr>
                <w:rFonts w:ascii="BrowalliaUPC" w:hAnsi="BrowalliaUPC" w:cs="BrowalliaUPC"/>
                <w:color w:val="0D0D0D" w:themeColor="text1" w:themeTint="F2"/>
                <w:sz w:val="24"/>
                <w:szCs w:val="24"/>
              </w:rPr>
              <w:tab/>
              <w:t>:  1,112 Units</w:t>
            </w:r>
          </w:p>
        </w:tc>
      </w:tr>
      <w:tr w:rsidR="0038549B" w:rsidRPr="004C1655" w:rsidTr="00606D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right w:val="none" w:sz="0" w:space="0" w:color="auto"/>
            </w:tcBorders>
            <w:shd w:val="clear" w:color="auto" w:fill="FFCE33"/>
          </w:tcPr>
          <w:p w:rsidR="0038549B" w:rsidRPr="004946C7" w:rsidRDefault="004946C7" w:rsidP="00927928">
            <w:pP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DC794E">
              <w:rPr>
                <w:rFonts w:ascii="Times New Roman" w:hAnsi="Times New Roman" w:cs="Times New Roman"/>
                <w:color w:val="0D0D0D" w:themeColor="text1" w:themeTint="F2"/>
                <w:sz w:val="28"/>
              </w:rPr>
              <w:t>Facilities :</w:t>
            </w:r>
          </w:p>
        </w:tc>
        <w:tc>
          <w:tcPr>
            <w:tcW w:w="4788" w:type="dxa"/>
            <w:tcBorders>
              <w:left w:val="none" w:sz="0" w:space="0" w:color="auto"/>
            </w:tcBorders>
            <w:shd w:val="clear" w:color="auto" w:fill="FFCE33"/>
          </w:tcPr>
          <w:p w:rsidR="0038549B" w:rsidRPr="004C1655" w:rsidRDefault="0038549B" w:rsidP="009279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rowalliaUPC" w:hAnsi="BrowalliaUPC" w:cs="BrowalliaUPC"/>
                <w:color w:val="0D0D0D" w:themeColor="text1" w:themeTint="F2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8549B" w:rsidRPr="004C1655" w:rsidTr="000354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tcBorders>
              <w:right w:val="none" w:sz="0" w:space="0" w:color="auto"/>
            </w:tcBorders>
          </w:tcPr>
          <w:p w:rsidR="00035461" w:rsidRDefault="00035461" w:rsidP="00035461">
            <w:pPr>
              <w:rPr>
                <w:rFonts w:ascii="BrowalliaUPC" w:hAnsi="BrowalliaUPC" w:cs="BrowalliaUPC"/>
                <w:b w:val="0"/>
                <w:bCs w:val="0"/>
                <w:color w:val="0D0D0D" w:themeColor="text1" w:themeTint="F2"/>
                <w:sz w:val="24"/>
                <w:szCs w:val="24"/>
              </w:rPr>
            </w:pPr>
            <w:r w:rsidRPr="00035461">
              <w:rPr>
                <w:rFonts w:ascii="BrowalliaUPC" w:hAnsi="BrowalliaUPC" w:cs="BrowalliaUPC"/>
                <w:b w:val="0"/>
                <w:bCs w:val="0"/>
                <w:color w:val="0D0D0D" w:themeColor="text1" w:themeTint="F2"/>
                <w:sz w:val="24"/>
                <w:szCs w:val="24"/>
              </w:rPr>
              <w:t xml:space="preserve">2 Infinity Edge Pools </w:t>
            </w:r>
          </w:p>
          <w:p w:rsidR="004946C7" w:rsidRPr="00035461" w:rsidRDefault="004946C7" w:rsidP="00035461">
            <w:pPr>
              <w:rPr>
                <w:rFonts w:ascii="BrowalliaUPC" w:hAnsi="BrowalliaUPC" w:cs="BrowalliaUPC"/>
                <w:b w:val="0"/>
                <w:bCs w:val="0"/>
                <w:color w:val="0D0D0D" w:themeColor="text1" w:themeTint="F2"/>
                <w:sz w:val="24"/>
                <w:szCs w:val="24"/>
              </w:rPr>
            </w:pPr>
            <w:r w:rsidRPr="00035461">
              <w:rPr>
                <w:rFonts w:ascii="BrowalliaUPC" w:hAnsi="BrowalliaUPC" w:cs="BrowalliaUPC"/>
                <w:b w:val="0"/>
                <w:bCs w:val="0"/>
                <w:color w:val="0D0D0D" w:themeColor="text1" w:themeTint="F2"/>
                <w:sz w:val="24"/>
                <w:szCs w:val="24"/>
              </w:rPr>
              <w:t>Fully Equipped exercise Room</w:t>
            </w:r>
          </w:p>
          <w:p w:rsidR="004946C7" w:rsidRPr="00035461" w:rsidRDefault="004946C7" w:rsidP="00035461">
            <w:pPr>
              <w:rPr>
                <w:rFonts w:ascii="BrowalliaUPC" w:hAnsi="BrowalliaUPC" w:cs="BrowalliaUPC"/>
                <w:color w:val="0D0D0D" w:themeColor="text1" w:themeTint="F2"/>
                <w:sz w:val="24"/>
                <w:szCs w:val="24"/>
              </w:rPr>
            </w:pPr>
            <w:r w:rsidRPr="00035461">
              <w:rPr>
                <w:rFonts w:ascii="BrowalliaUPC" w:hAnsi="BrowalliaUPC" w:cs="BrowalliaUPC"/>
                <w:b w:val="0"/>
                <w:bCs w:val="0"/>
                <w:color w:val="0D0D0D" w:themeColor="text1" w:themeTint="F2"/>
                <w:sz w:val="24"/>
                <w:szCs w:val="24"/>
              </w:rPr>
              <w:t>Garden and outdoor recreation area</w:t>
            </w:r>
          </w:p>
        </w:tc>
        <w:tc>
          <w:tcPr>
            <w:tcW w:w="4788" w:type="dxa"/>
            <w:tcBorders>
              <w:left w:val="none" w:sz="0" w:space="0" w:color="auto"/>
            </w:tcBorders>
          </w:tcPr>
          <w:p w:rsidR="0038549B" w:rsidRPr="00035461" w:rsidRDefault="004946C7" w:rsidP="000354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rowalliaUPC" w:hAnsi="BrowalliaUPC" w:cs="BrowalliaUPC"/>
                <w:color w:val="0D0D0D" w:themeColor="text1" w:themeTint="F2"/>
                <w:sz w:val="24"/>
                <w:szCs w:val="24"/>
              </w:rPr>
            </w:pPr>
            <w:r w:rsidRPr="00035461">
              <w:rPr>
                <w:rFonts w:ascii="BrowalliaUPC" w:hAnsi="BrowalliaUPC" w:cs="BrowalliaUPC"/>
                <w:color w:val="0D0D0D" w:themeColor="text1" w:themeTint="F2"/>
                <w:sz w:val="24"/>
                <w:szCs w:val="24"/>
              </w:rPr>
              <w:t>Rooftop Garden</w:t>
            </w:r>
          </w:p>
          <w:p w:rsidR="004946C7" w:rsidRPr="00035461" w:rsidRDefault="004946C7" w:rsidP="000354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rowalliaUPC" w:hAnsi="BrowalliaUPC" w:cs="BrowalliaUPC"/>
                <w:color w:val="0D0D0D" w:themeColor="text1" w:themeTint="F2"/>
                <w:sz w:val="24"/>
                <w:szCs w:val="24"/>
              </w:rPr>
            </w:pPr>
            <w:r w:rsidRPr="00035461">
              <w:rPr>
                <w:rFonts w:ascii="BrowalliaUPC" w:hAnsi="BrowalliaUPC" w:cs="BrowalliaUPC"/>
                <w:color w:val="0D0D0D" w:themeColor="text1" w:themeTint="F2"/>
                <w:sz w:val="24"/>
                <w:szCs w:val="24"/>
              </w:rPr>
              <w:t>Wireless Internet available at facilities floor</w:t>
            </w:r>
          </w:p>
          <w:p w:rsidR="004946C7" w:rsidRPr="00035461" w:rsidRDefault="004946C7" w:rsidP="0003546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BrowalliaUPC" w:hAnsi="BrowalliaUPC" w:cs="BrowalliaUPC"/>
                <w:color w:val="0D0D0D" w:themeColor="text1" w:themeTint="F2"/>
                <w:sz w:val="24"/>
                <w:szCs w:val="24"/>
              </w:rPr>
            </w:pPr>
            <w:r w:rsidRPr="00035461">
              <w:rPr>
                <w:rFonts w:ascii="BrowalliaUPC" w:hAnsi="BrowalliaUPC" w:cs="BrowalliaUPC"/>
                <w:color w:val="0D0D0D" w:themeColor="text1" w:themeTint="F2"/>
                <w:sz w:val="24"/>
                <w:szCs w:val="24"/>
              </w:rPr>
              <w:t>24-hour security guard and CCTV</w:t>
            </w:r>
          </w:p>
        </w:tc>
      </w:tr>
    </w:tbl>
    <w:tbl>
      <w:tblPr>
        <w:tblStyle w:val="TableGrid"/>
        <w:tblW w:w="9749" w:type="dxa"/>
        <w:jc w:val="center"/>
        <w:tblInd w:w="11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"/>
        <w:gridCol w:w="1590"/>
        <w:gridCol w:w="1915"/>
        <w:gridCol w:w="1915"/>
        <w:gridCol w:w="393"/>
        <w:gridCol w:w="1522"/>
        <w:gridCol w:w="393"/>
        <w:gridCol w:w="1812"/>
        <w:gridCol w:w="104"/>
      </w:tblGrid>
      <w:tr w:rsidR="00035461" w:rsidRPr="00035461" w:rsidTr="00DC794E">
        <w:trPr>
          <w:gridBefore w:val="1"/>
          <w:gridAfter w:val="1"/>
          <w:wBefore w:w="105" w:type="dxa"/>
          <w:wAfter w:w="104" w:type="dxa"/>
          <w:jc w:val="center"/>
        </w:trPr>
        <w:tc>
          <w:tcPr>
            <w:tcW w:w="1590" w:type="dxa"/>
            <w:shd w:val="clear" w:color="auto" w:fill="000000" w:themeFill="text1"/>
          </w:tcPr>
          <w:p w:rsidR="00035461" w:rsidRPr="00DC794E" w:rsidRDefault="00035461" w:rsidP="00035461">
            <w:pPr>
              <w:jc w:val="center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DC794E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Unit Type</w:t>
            </w:r>
          </w:p>
        </w:tc>
        <w:tc>
          <w:tcPr>
            <w:tcW w:w="1915" w:type="dxa"/>
            <w:shd w:val="clear" w:color="auto" w:fill="000000" w:themeFill="text1"/>
          </w:tcPr>
          <w:p w:rsidR="00035461" w:rsidRPr="00DC794E" w:rsidRDefault="00035461" w:rsidP="00035461">
            <w:pPr>
              <w:jc w:val="center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DC794E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Unit Size</w:t>
            </w:r>
          </w:p>
        </w:tc>
        <w:tc>
          <w:tcPr>
            <w:tcW w:w="1915" w:type="dxa"/>
            <w:shd w:val="clear" w:color="auto" w:fill="000000" w:themeFill="text1"/>
          </w:tcPr>
          <w:p w:rsidR="00035461" w:rsidRPr="00DC794E" w:rsidRDefault="00035461" w:rsidP="00035461">
            <w:pPr>
              <w:jc w:val="center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DC794E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Selling Price</w:t>
            </w:r>
          </w:p>
        </w:tc>
        <w:tc>
          <w:tcPr>
            <w:tcW w:w="1915" w:type="dxa"/>
            <w:gridSpan w:val="2"/>
            <w:shd w:val="clear" w:color="auto" w:fill="000000" w:themeFill="text1"/>
          </w:tcPr>
          <w:p w:rsidR="00035461" w:rsidRPr="00DC794E" w:rsidRDefault="00035461" w:rsidP="00035461">
            <w:pPr>
              <w:jc w:val="center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DC794E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Rent</w:t>
            </w:r>
          </w:p>
        </w:tc>
        <w:tc>
          <w:tcPr>
            <w:tcW w:w="2205" w:type="dxa"/>
            <w:gridSpan w:val="2"/>
            <w:shd w:val="clear" w:color="auto" w:fill="000000" w:themeFill="text1"/>
          </w:tcPr>
          <w:p w:rsidR="00035461" w:rsidRPr="00DC794E" w:rsidRDefault="00035461" w:rsidP="00035461">
            <w:pPr>
              <w:jc w:val="center"/>
              <w:rPr>
                <w:rFonts w:ascii="Times New Roman" w:hAnsi="Times New Roman" w:cs="Times New Roman"/>
                <w:color w:val="FFC000"/>
                <w:sz w:val="24"/>
                <w:szCs w:val="24"/>
              </w:rPr>
            </w:pPr>
            <w:r w:rsidRPr="00DC794E">
              <w:rPr>
                <w:rFonts w:ascii="Times New Roman" w:hAnsi="Times New Roman" w:cs="Times New Roman"/>
                <w:color w:val="FFC000"/>
                <w:sz w:val="24"/>
                <w:szCs w:val="24"/>
              </w:rPr>
              <w:t>Yield/ROI</w:t>
            </w:r>
          </w:p>
        </w:tc>
      </w:tr>
      <w:tr w:rsidR="00035461" w:rsidTr="00DC794E">
        <w:trPr>
          <w:jc w:val="center"/>
        </w:trPr>
        <w:tc>
          <w:tcPr>
            <w:tcW w:w="1695" w:type="dxa"/>
            <w:gridSpan w:val="2"/>
          </w:tcPr>
          <w:p w:rsidR="00035461" w:rsidRDefault="00035461" w:rsidP="00035461">
            <w:pPr>
              <w:jc w:val="center"/>
              <w:rPr>
                <w:rFonts w:ascii="BrowalliaUPC" w:hAnsi="BrowalliaUPC" w:cs="BrowalliaUPC"/>
                <w:color w:val="0D0D0D" w:themeColor="text1" w:themeTint="F2"/>
                <w:sz w:val="24"/>
                <w:szCs w:val="24"/>
              </w:rPr>
            </w:pPr>
            <w:r>
              <w:rPr>
                <w:rFonts w:ascii="BrowalliaUPC" w:hAnsi="BrowalliaUPC" w:cs="BrowalliaUPC"/>
                <w:color w:val="0D0D0D" w:themeColor="text1" w:themeTint="F2"/>
                <w:sz w:val="24"/>
                <w:szCs w:val="24"/>
              </w:rPr>
              <w:t>1 Bed 1 Bath</w:t>
            </w:r>
          </w:p>
        </w:tc>
        <w:tc>
          <w:tcPr>
            <w:tcW w:w="1915" w:type="dxa"/>
          </w:tcPr>
          <w:p w:rsidR="00035461" w:rsidRDefault="00035461" w:rsidP="00125AE2">
            <w:pPr>
              <w:jc w:val="center"/>
              <w:rPr>
                <w:rFonts w:ascii="BrowalliaUPC" w:hAnsi="BrowalliaUPC" w:cs="BrowalliaUPC"/>
                <w:color w:val="0D0D0D" w:themeColor="text1" w:themeTint="F2"/>
                <w:sz w:val="24"/>
                <w:szCs w:val="24"/>
              </w:rPr>
            </w:pPr>
            <w:r>
              <w:rPr>
                <w:rFonts w:ascii="BrowalliaUPC" w:hAnsi="BrowalliaUPC" w:cs="BrowalliaUPC"/>
                <w:color w:val="0D0D0D" w:themeColor="text1" w:themeTint="F2"/>
                <w:sz w:val="24"/>
                <w:szCs w:val="24"/>
              </w:rPr>
              <w:t>28.50</w:t>
            </w:r>
            <w:r w:rsidR="00125AE2">
              <w:rPr>
                <w:rFonts w:ascii="BrowalliaUPC" w:hAnsi="BrowalliaUPC" w:cs="BrowalliaUPC"/>
                <w:color w:val="0D0D0D" w:themeColor="text1" w:themeTint="F2"/>
                <w:sz w:val="24"/>
                <w:szCs w:val="24"/>
              </w:rPr>
              <w:t>-29.50</w:t>
            </w:r>
          </w:p>
        </w:tc>
        <w:tc>
          <w:tcPr>
            <w:tcW w:w="2308" w:type="dxa"/>
            <w:gridSpan w:val="2"/>
          </w:tcPr>
          <w:p w:rsidR="00035461" w:rsidRDefault="00125AE2" w:rsidP="00927928">
            <w:pPr>
              <w:rPr>
                <w:rFonts w:ascii="BrowalliaUPC" w:hAnsi="BrowalliaUPC" w:cs="BrowalliaUPC"/>
                <w:color w:val="0D0D0D" w:themeColor="text1" w:themeTint="F2"/>
                <w:sz w:val="24"/>
                <w:szCs w:val="24"/>
              </w:rPr>
            </w:pPr>
            <w:r>
              <w:rPr>
                <w:rFonts w:ascii="BrowalliaUPC" w:hAnsi="BrowalliaUPC" w:cs="BrowalliaUPC"/>
                <w:color w:val="0D0D0D" w:themeColor="text1" w:themeTint="F2"/>
                <w:sz w:val="24"/>
                <w:szCs w:val="24"/>
              </w:rPr>
              <w:t>2,500,000 – 3,400,000</w:t>
            </w:r>
          </w:p>
        </w:tc>
        <w:tc>
          <w:tcPr>
            <w:tcW w:w="1915" w:type="dxa"/>
            <w:gridSpan w:val="2"/>
          </w:tcPr>
          <w:p w:rsidR="00035461" w:rsidRPr="00035461" w:rsidRDefault="00035461" w:rsidP="00035461">
            <w:pPr>
              <w:jc w:val="center"/>
              <w:rPr>
                <w:rFonts w:ascii="BrowalliaUPC" w:hAnsi="BrowalliaUPC" w:cs="BrowalliaUPC"/>
              </w:rPr>
            </w:pPr>
            <w:r w:rsidRPr="00035461">
              <w:rPr>
                <w:rFonts w:ascii="BrowalliaUPC" w:hAnsi="BrowalliaUPC" w:cs="BrowalliaUPC"/>
              </w:rPr>
              <w:t>N/A</w:t>
            </w:r>
          </w:p>
        </w:tc>
        <w:tc>
          <w:tcPr>
            <w:tcW w:w="1916" w:type="dxa"/>
            <w:gridSpan w:val="2"/>
          </w:tcPr>
          <w:p w:rsidR="00035461" w:rsidRPr="00035461" w:rsidRDefault="00035461" w:rsidP="00035461">
            <w:pPr>
              <w:jc w:val="center"/>
              <w:rPr>
                <w:rFonts w:ascii="BrowalliaUPC" w:hAnsi="BrowalliaUPC" w:cs="BrowalliaUPC"/>
              </w:rPr>
            </w:pPr>
            <w:r w:rsidRPr="00035461">
              <w:rPr>
                <w:rFonts w:ascii="BrowalliaUPC" w:hAnsi="BrowalliaUPC" w:cs="BrowalliaUPC"/>
              </w:rPr>
              <w:t>N/A</w:t>
            </w:r>
          </w:p>
        </w:tc>
      </w:tr>
      <w:tr w:rsidR="00125AE2" w:rsidTr="00DC794E">
        <w:trPr>
          <w:jc w:val="center"/>
        </w:trPr>
        <w:tc>
          <w:tcPr>
            <w:tcW w:w="1695" w:type="dxa"/>
            <w:gridSpan w:val="2"/>
          </w:tcPr>
          <w:p w:rsidR="00125AE2" w:rsidRDefault="00125AE2" w:rsidP="00035461">
            <w:pPr>
              <w:jc w:val="center"/>
              <w:rPr>
                <w:rFonts w:ascii="BrowalliaUPC" w:hAnsi="BrowalliaUPC" w:cs="BrowalliaUPC"/>
                <w:color w:val="0D0D0D" w:themeColor="text1" w:themeTint="F2"/>
                <w:sz w:val="24"/>
                <w:szCs w:val="24"/>
              </w:rPr>
            </w:pPr>
            <w:r>
              <w:rPr>
                <w:rFonts w:ascii="BrowalliaUPC" w:hAnsi="BrowalliaUPC" w:cs="BrowalliaUPC"/>
                <w:color w:val="0D0D0D" w:themeColor="text1" w:themeTint="F2"/>
                <w:sz w:val="24"/>
                <w:szCs w:val="24"/>
              </w:rPr>
              <w:t>1 Bed 1 Bath</w:t>
            </w:r>
          </w:p>
        </w:tc>
        <w:tc>
          <w:tcPr>
            <w:tcW w:w="1915" w:type="dxa"/>
          </w:tcPr>
          <w:p w:rsidR="00125AE2" w:rsidRDefault="00125AE2" w:rsidP="00125AE2">
            <w:pPr>
              <w:jc w:val="center"/>
              <w:rPr>
                <w:rFonts w:ascii="BrowalliaUPC" w:hAnsi="BrowalliaUPC" w:cs="BrowalliaUPC"/>
                <w:color w:val="0D0D0D" w:themeColor="text1" w:themeTint="F2"/>
                <w:sz w:val="24"/>
                <w:szCs w:val="24"/>
              </w:rPr>
            </w:pPr>
            <w:r>
              <w:rPr>
                <w:rFonts w:ascii="BrowalliaUPC" w:hAnsi="BrowalliaUPC" w:cs="BrowalliaUPC"/>
                <w:color w:val="0D0D0D" w:themeColor="text1" w:themeTint="F2"/>
                <w:sz w:val="24"/>
                <w:szCs w:val="24"/>
              </w:rPr>
              <w:t>33.5-</w:t>
            </w:r>
            <w:r>
              <w:rPr>
                <w:rFonts w:ascii="BrowalliaUPC" w:hAnsi="BrowalliaUPC" w:cs="BrowalliaUPC"/>
                <w:color w:val="0D0D0D" w:themeColor="text1" w:themeTint="F2"/>
                <w:sz w:val="24"/>
                <w:szCs w:val="24"/>
              </w:rPr>
              <w:t>34.50</w:t>
            </w:r>
          </w:p>
        </w:tc>
        <w:tc>
          <w:tcPr>
            <w:tcW w:w="2308" w:type="dxa"/>
            <w:gridSpan w:val="2"/>
          </w:tcPr>
          <w:p w:rsidR="00125AE2" w:rsidRDefault="00125AE2" w:rsidP="00927928">
            <w:pPr>
              <w:rPr>
                <w:rFonts w:ascii="BrowalliaUPC" w:hAnsi="BrowalliaUPC" w:cs="BrowalliaUPC"/>
                <w:color w:val="0D0D0D" w:themeColor="text1" w:themeTint="F2"/>
                <w:sz w:val="24"/>
                <w:szCs w:val="24"/>
              </w:rPr>
            </w:pPr>
            <w:r>
              <w:rPr>
                <w:rFonts w:ascii="BrowalliaUPC" w:hAnsi="BrowalliaUPC" w:cs="BrowalliaUPC"/>
                <w:color w:val="0D0D0D" w:themeColor="text1" w:themeTint="F2"/>
                <w:sz w:val="24"/>
                <w:szCs w:val="24"/>
              </w:rPr>
              <w:t>3,450,000 – 3,900,000</w:t>
            </w:r>
          </w:p>
        </w:tc>
        <w:tc>
          <w:tcPr>
            <w:tcW w:w="1915" w:type="dxa"/>
            <w:gridSpan w:val="2"/>
          </w:tcPr>
          <w:p w:rsidR="00125AE2" w:rsidRPr="00035461" w:rsidRDefault="00DC794E" w:rsidP="00035461">
            <w:pPr>
              <w:jc w:val="center"/>
              <w:rPr>
                <w:rFonts w:ascii="BrowalliaUPC" w:hAnsi="BrowalliaUPC" w:cs="BrowalliaUPC"/>
              </w:rPr>
            </w:pPr>
            <w:r>
              <w:rPr>
                <w:rFonts w:ascii="BrowalliaUPC" w:hAnsi="BrowalliaUPC" w:cs="BrowalliaUPC"/>
              </w:rPr>
              <w:t>N/A</w:t>
            </w:r>
          </w:p>
        </w:tc>
        <w:tc>
          <w:tcPr>
            <w:tcW w:w="1916" w:type="dxa"/>
            <w:gridSpan w:val="2"/>
          </w:tcPr>
          <w:p w:rsidR="00125AE2" w:rsidRPr="00035461" w:rsidRDefault="00DC794E" w:rsidP="00035461">
            <w:pPr>
              <w:jc w:val="center"/>
              <w:rPr>
                <w:rFonts w:ascii="BrowalliaUPC" w:hAnsi="BrowalliaUPC" w:cs="BrowalliaUPC"/>
              </w:rPr>
            </w:pPr>
            <w:r>
              <w:rPr>
                <w:rFonts w:ascii="BrowalliaUPC" w:hAnsi="BrowalliaUPC" w:cs="BrowalliaUPC"/>
              </w:rPr>
              <w:t>N/A</w:t>
            </w:r>
          </w:p>
        </w:tc>
      </w:tr>
      <w:tr w:rsidR="00035461" w:rsidTr="00DC794E">
        <w:trPr>
          <w:jc w:val="center"/>
        </w:trPr>
        <w:tc>
          <w:tcPr>
            <w:tcW w:w="1695" w:type="dxa"/>
            <w:gridSpan w:val="2"/>
          </w:tcPr>
          <w:p w:rsidR="00035461" w:rsidRDefault="00035461" w:rsidP="00035461">
            <w:pPr>
              <w:jc w:val="center"/>
              <w:rPr>
                <w:rFonts w:ascii="BrowalliaUPC" w:hAnsi="BrowalliaUPC" w:cs="BrowalliaUPC"/>
                <w:color w:val="0D0D0D" w:themeColor="text1" w:themeTint="F2"/>
                <w:sz w:val="24"/>
                <w:szCs w:val="24"/>
              </w:rPr>
            </w:pPr>
            <w:r>
              <w:rPr>
                <w:rFonts w:ascii="BrowalliaUPC" w:hAnsi="BrowalliaUPC" w:cs="BrowalliaUPC"/>
                <w:color w:val="0D0D0D" w:themeColor="text1" w:themeTint="F2"/>
                <w:sz w:val="24"/>
                <w:szCs w:val="24"/>
              </w:rPr>
              <w:t>2 Bed 1 Bath</w:t>
            </w:r>
          </w:p>
        </w:tc>
        <w:tc>
          <w:tcPr>
            <w:tcW w:w="1915" w:type="dxa"/>
          </w:tcPr>
          <w:p w:rsidR="00035461" w:rsidRDefault="00035461" w:rsidP="00DC794E">
            <w:pPr>
              <w:jc w:val="center"/>
              <w:rPr>
                <w:rFonts w:ascii="BrowalliaUPC" w:hAnsi="BrowalliaUPC" w:cs="BrowalliaUPC"/>
                <w:color w:val="0D0D0D" w:themeColor="text1" w:themeTint="F2"/>
                <w:sz w:val="24"/>
                <w:szCs w:val="24"/>
              </w:rPr>
            </w:pPr>
            <w:r>
              <w:rPr>
                <w:rFonts w:ascii="BrowalliaUPC" w:hAnsi="BrowalliaUPC" w:cs="BrowalliaUPC"/>
                <w:color w:val="0D0D0D" w:themeColor="text1" w:themeTint="F2"/>
                <w:sz w:val="24"/>
                <w:szCs w:val="24"/>
              </w:rPr>
              <w:t>50.50-51.00</w:t>
            </w:r>
          </w:p>
        </w:tc>
        <w:tc>
          <w:tcPr>
            <w:tcW w:w="2308" w:type="dxa"/>
            <w:gridSpan w:val="2"/>
          </w:tcPr>
          <w:p w:rsidR="00035461" w:rsidRDefault="00CC0488" w:rsidP="00CC0488">
            <w:pPr>
              <w:rPr>
                <w:rFonts w:ascii="BrowalliaUPC" w:hAnsi="BrowalliaUPC" w:cs="BrowalliaUPC"/>
                <w:color w:val="0D0D0D" w:themeColor="text1" w:themeTint="F2"/>
                <w:sz w:val="24"/>
                <w:szCs w:val="24"/>
              </w:rPr>
            </w:pPr>
            <w:r>
              <w:rPr>
                <w:rFonts w:ascii="BrowalliaUPC" w:hAnsi="BrowalliaUPC" w:cs="BrowalliaUPC"/>
                <w:color w:val="0D0D0D" w:themeColor="text1" w:themeTint="F2"/>
                <w:sz w:val="24"/>
                <w:szCs w:val="24"/>
              </w:rPr>
              <w:t>4,55</w:t>
            </w:r>
            <w:r w:rsidR="00125AE2">
              <w:rPr>
                <w:rFonts w:ascii="BrowalliaUPC" w:hAnsi="BrowalliaUPC" w:cs="BrowalliaUPC"/>
                <w:color w:val="0D0D0D" w:themeColor="text1" w:themeTint="F2"/>
                <w:sz w:val="24"/>
                <w:szCs w:val="24"/>
              </w:rPr>
              <w:t>0,000 – 6,600,000</w:t>
            </w:r>
          </w:p>
        </w:tc>
        <w:tc>
          <w:tcPr>
            <w:tcW w:w="1915" w:type="dxa"/>
            <w:gridSpan w:val="2"/>
          </w:tcPr>
          <w:p w:rsidR="00035461" w:rsidRPr="00035461" w:rsidRDefault="00035461" w:rsidP="00035461">
            <w:pPr>
              <w:jc w:val="center"/>
              <w:rPr>
                <w:rFonts w:ascii="BrowalliaUPC" w:hAnsi="BrowalliaUPC" w:cs="BrowalliaUPC"/>
              </w:rPr>
            </w:pPr>
            <w:r w:rsidRPr="00035461">
              <w:rPr>
                <w:rFonts w:ascii="BrowalliaUPC" w:hAnsi="BrowalliaUPC" w:cs="BrowalliaUPC"/>
              </w:rPr>
              <w:t>N/A</w:t>
            </w:r>
          </w:p>
        </w:tc>
        <w:tc>
          <w:tcPr>
            <w:tcW w:w="1916" w:type="dxa"/>
            <w:gridSpan w:val="2"/>
          </w:tcPr>
          <w:p w:rsidR="00035461" w:rsidRPr="00035461" w:rsidRDefault="00035461" w:rsidP="00035461">
            <w:pPr>
              <w:jc w:val="center"/>
              <w:rPr>
                <w:rFonts w:ascii="BrowalliaUPC" w:hAnsi="BrowalliaUPC" w:cs="BrowalliaUPC"/>
              </w:rPr>
            </w:pPr>
            <w:r w:rsidRPr="00035461">
              <w:rPr>
                <w:rFonts w:ascii="BrowalliaUPC" w:hAnsi="BrowalliaUPC" w:cs="BrowalliaUPC"/>
              </w:rPr>
              <w:t>N/A</w:t>
            </w:r>
          </w:p>
        </w:tc>
      </w:tr>
      <w:tr w:rsidR="00035461" w:rsidTr="00DC794E">
        <w:trPr>
          <w:jc w:val="center"/>
        </w:trPr>
        <w:tc>
          <w:tcPr>
            <w:tcW w:w="1695" w:type="dxa"/>
            <w:gridSpan w:val="2"/>
          </w:tcPr>
          <w:p w:rsidR="00035461" w:rsidRDefault="00035461" w:rsidP="00035461">
            <w:pPr>
              <w:jc w:val="center"/>
              <w:rPr>
                <w:rFonts w:ascii="BrowalliaUPC" w:hAnsi="BrowalliaUPC" w:cs="BrowalliaUPC"/>
                <w:color w:val="0D0D0D" w:themeColor="text1" w:themeTint="F2"/>
                <w:sz w:val="24"/>
                <w:szCs w:val="24"/>
              </w:rPr>
            </w:pPr>
            <w:r>
              <w:rPr>
                <w:rFonts w:ascii="BrowalliaUPC" w:hAnsi="BrowalliaUPC" w:cs="BrowalliaUPC"/>
                <w:color w:val="0D0D0D" w:themeColor="text1" w:themeTint="F2"/>
                <w:sz w:val="24"/>
                <w:szCs w:val="24"/>
              </w:rPr>
              <w:t>2 Bed 2 Bath</w:t>
            </w:r>
          </w:p>
        </w:tc>
        <w:tc>
          <w:tcPr>
            <w:tcW w:w="1915" w:type="dxa"/>
          </w:tcPr>
          <w:p w:rsidR="00035461" w:rsidRDefault="00035461" w:rsidP="00035461">
            <w:pPr>
              <w:jc w:val="center"/>
              <w:rPr>
                <w:rFonts w:ascii="BrowalliaUPC" w:hAnsi="BrowalliaUPC" w:cs="BrowalliaUPC"/>
                <w:color w:val="0D0D0D" w:themeColor="text1" w:themeTint="F2"/>
                <w:sz w:val="24"/>
                <w:szCs w:val="24"/>
              </w:rPr>
            </w:pPr>
            <w:r>
              <w:rPr>
                <w:rFonts w:ascii="BrowalliaUPC" w:hAnsi="BrowalliaUPC" w:cs="BrowalliaUPC"/>
                <w:color w:val="0D0D0D" w:themeColor="text1" w:themeTint="F2"/>
                <w:sz w:val="24"/>
                <w:szCs w:val="24"/>
              </w:rPr>
              <w:t>61.50-69.50</w:t>
            </w:r>
          </w:p>
        </w:tc>
        <w:tc>
          <w:tcPr>
            <w:tcW w:w="2308" w:type="dxa"/>
            <w:gridSpan w:val="2"/>
          </w:tcPr>
          <w:p w:rsidR="00035461" w:rsidRDefault="00DC794E" w:rsidP="00927928">
            <w:pPr>
              <w:rPr>
                <w:rFonts w:ascii="BrowalliaUPC" w:hAnsi="BrowalliaUPC" w:cs="BrowalliaUPC"/>
                <w:color w:val="0D0D0D" w:themeColor="text1" w:themeTint="F2"/>
                <w:sz w:val="24"/>
                <w:szCs w:val="24"/>
              </w:rPr>
            </w:pPr>
            <w:r>
              <w:rPr>
                <w:rFonts w:ascii="BrowalliaUPC" w:hAnsi="BrowalliaUPC" w:cs="BrowalliaUPC"/>
                <w:color w:val="0D0D0D" w:themeColor="text1" w:themeTint="F2"/>
                <w:sz w:val="24"/>
                <w:szCs w:val="24"/>
              </w:rPr>
              <w:t>5,100,000 – 7,200,000</w:t>
            </w:r>
          </w:p>
        </w:tc>
        <w:tc>
          <w:tcPr>
            <w:tcW w:w="1915" w:type="dxa"/>
            <w:gridSpan w:val="2"/>
          </w:tcPr>
          <w:p w:rsidR="00035461" w:rsidRPr="00035461" w:rsidRDefault="00035461" w:rsidP="00035461">
            <w:pPr>
              <w:jc w:val="center"/>
              <w:rPr>
                <w:rFonts w:ascii="BrowalliaUPC" w:hAnsi="BrowalliaUPC" w:cs="BrowalliaUPC"/>
              </w:rPr>
            </w:pPr>
            <w:r w:rsidRPr="00035461">
              <w:rPr>
                <w:rFonts w:ascii="BrowalliaUPC" w:hAnsi="BrowalliaUPC" w:cs="BrowalliaUPC"/>
              </w:rPr>
              <w:t>N/A</w:t>
            </w:r>
          </w:p>
        </w:tc>
        <w:tc>
          <w:tcPr>
            <w:tcW w:w="1916" w:type="dxa"/>
            <w:gridSpan w:val="2"/>
          </w:tcPr>
          <w:p w:rsidR="00035461" w:rsidRPr="00035461" w:rsidRDefault="00035461" w:rsidP="00035461">
            <w:pPr>
              <w:jc w:val="center"/>
              <w:rPr>
                <w:rFonts w:ascii="BrowalliaUPC" w:hAnsi="BrowalliaUPC" w:cs="BrowalliaUPC"/>
              </w:rPr>
            </w:pPr>
            <w:r w:rsidRPr="00035461">
              <w:rPr>
                <w:rFonts w:ascii="BrowalliaUPC" w:hAnsi="BrowalliaUPC" w:cs="BrowalliaUPC"/>
              </w:rPr>
              <w:t>N/A</w:t>
            </w:r>
          </w:p>
        </w:tc>
      </w:tr>
      <w:tr w:rsidR="00125AE2" w:rsidTr="00DC794E">
        <w:trPr>
          <w:jc w:val="center"/>
        </w:trPr>
        <w:tc>
          <w:tcPr>
            <w:tcW w:w="1695" w:type="dxa"/>
            <w:gridSpan w:val="2"/>
          </w:tcPr>
          <w:p w:rsidR="00125AE2" w:rsidRDefault="00125AE2" w:rsidP="00035461">
            <w:pPr>
              <w:jc w:val="center"/>
              <w:rPr>
                <w:rFonts w:ascii="BrowalliaUPC" w:hAnsi="BrowalliaUPC" w:cs="BrowalliaUPC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15" w:type="dxa"/>
          </w:tcPr>
          <w:p w:rsidR="00125AE2" w:rsidRDefault="00125AE2" w:rsidP="00035461">
            <w:pPr>
              <w:jc w:val="center"/>
              <w:rPr>
                <w:rFonts w:ascii="BrowalliaUPC" w:hAnsi="BrowalliaUPC" w:cs="BrowalliaUPC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308" w:type="dxa"/>
            <w:gridSpan w:val="2"/>
          </w:tcPr>
          <w:p w:rsidR="00125AE2" w:rsidRDefault="00125AE2" w:rsidP="00927928">
            <w:pPr>
              <w:rPr>
                <w:rFonts w:ascii="BrowalliaUPC" w:hAnsi="BrowalliaUPC" w:cs="BrowalliaUPC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915" w:type="dxa"/>
            <w:gridSpan w:val="2"/>
          </w:tcPr>
          <w:p w:rsidR="00125AE2" w:rsidRPr="00035461" w:rsidRDefault="00125AE2" w:rsidP="00035461">
            <w:pPr>
              <w:jc w:val="center"/>
              <w:rPr>
                <w:rFonts w:ascii="BrowalliaUPC" w:hAnsi="BrowalliaUPC" w:cs="BrowalliaUPC"/>
              </w:rPr>
            </w:pPr>
          </w:p>
        </w:tc>
        <w:tc>
          <w:tcPr>
            <w:tcW w:w="1916" w:type="dxa"/>
            <w:gridSpan w:val="2"/>
          </w:tcPr>
          <w:p w:rsidR="00125AE2" w:rsidRPr="00035461" w:rsidRDefault="00125AE2" w:rsidP="00035461">
            <w:pPr>
              <w:jc w:val="center"/>
              <w:rPr>
                <w:rFonts w:ascii="BrowalliaUPC" w:hAnsi="BrowalliaUPC" w:cs="BrowalliaUPC"/>
              </w:rPr>
            </w:pPr>
          </w:p>
        </w:tc>
      </w:tr>
      <w:tr w:rsidR="00DC794E" w:rsidTr="00E8701B">
        <w:trPr>
          <w:gridAfter w:val="1"/>
          <w:wAfter w:w="104" w:type="dxa"/>
          <w:jc w:val="center"/>
        </w:trPr>
        <w:tc>
          <w:tcPr>
            <w:tcW w:w="3610" w:type="dxa"/>
            <w:gridSpan w:val="3"/>
          </w:tcPr>
          <w:p w:rsidR="00DC794E" w:rsidRDefault="00DC794E" w:rsidP="00DC794E">
            <w:pPr>
              <w:rPr>
                <w:rFonts w:ascii="BrowalliaUPC" w:hAnsi="BrowalliaUPC" w:cs="BrowalliaUPC"/>
                <w:color w:val="0D0D0D" w:themeColor="text1" w:themeTint="F2"/>
                <w:sz w:val="24"/>
                <w:szCs w:val="24"/>
              </w:rPr>
            </w:pPr>
            <w:r w:rsidRPr="00125AE2">
              <w:rPr>
                <w:rFonts w:ascii="BrowalliaUPC" w:hAnsi="BrowalliaUPC" w:cs="BrowalliaUPC"/>
                <w:b/>
                <w:bCs/>
                <w:color w:val="0D0D0D" w:themeColor="text1" w:themeTint="F2"/>
                <w:sz w:val="24"/>
                <w:szCs w:val="24"/>
              </w:rPr>
              <w:t>Average Selling Price</w:t>
            </w:r>
          </w:p>
        </w:tc>
        <w:tc>
          <w:tcPr>
            <w:tcW w:w="1915" w:type="dxa"/>
          </w:tcPr>
          <w:p w:rsidR="00DC794E" w:rsidRDefault="00DC794E" w:rsidP="00DC794E">
            <w:pPr>
              <w:rPr>
                <w:rFonts w:ascii="BrowalliaUPC" w:hAnsi="BrowalliaUPC" w:cs="BrowalliaUPC"/>
                <w:color w:val="0D0D0D" w:themeColor="text1" w:themeTint="F2"/>
                <w:sz w:val="24"/>
                <w:szCs w:val="24"/>
              </w:rPr>
            </w:pPr>
            <w:r w:rsidRPr="00DC794E">
              <w:rPr>
                <w:rFonts w:ascii="BrowalliaUPC" w:hAnsi="BrowalliaUPC" w:cs="BrowalliaUPC"/>
                <w:color w:val="0D0D0D" w:themeColor="text1" w:themeTint="F2"/>
                <w:sz w:val="24"/>
                <w:szCs w:val="24"/>
              </w:rPr>
              <w:t xml:space="preserve">102,000 Baht per </w:t>
            </w:r>
            <w:proofErr w:type="spellStart"/>
            <w:r w:rsidRPr="00DC794E">
              <w:rPr>
                <w:rFonts w:ascii="BrowalliaUPC" w:hAnsi="BrowalliaUPC" w:cs="BrowalliaUPC"/>
                <w:color w:val="0D0D0D" w:themeColor="text1" w:themeTint="F2"/>
                <w:sz w:val="24"/>
                <w:szCs w:val="24"/>
              </w:rPr>
              <w:t>sq.m</w:t>
            </w:r>
            <w:proofErr w:type="spellEnd"/>
            <w:r w:rsidRPr="00DC794E">
              <w:rPr>
                <w:rFonts w:ascii="BrowalliaUPC" w:hAnsi="BrowalliaUPC" w:cs="BrowalliaUPC"/>
                <w:color w:val="0D0D0D" w:themeColor="text1" w:themeTint="F2"/>
                <w:sz w:val="24"/>
                <w:szCs w:val="24"/>
              </w:rPr>
              <w:t>.</w:t>
            </w:r>
          </w:p>
        </w:tc>
        <w:tc>
          <w:tcPr>
            <w:tcW w:w="1915" w:type="dxa"/>
            <w:gridSpan w:val="2"/>
          </w:tcPr>
          <w:p w:rsidR="00DC794E" w:rsidRPr="00035461" w:rsidRDefault="00DC794E" w:rsidP="00035461">
            <w:pPr>
              <w:jc w:val="center"/>
              <w:rPr>
                <w:rFonts w:ascii="BrowalliaUPC" w:hAnsi="BrowalliaUPC" w:cs="BrowalliaUPC"/>
              </w:rPr>
            </w:pPr>
          </w:p>
        </w:tc>
        <w:tc>
          <w:tcPr>
            <w:tcW w:w="2205" w:type="dxa"/>
            <w:gridSpan w:val="2"/>
          </w:tcPr>
          <w:p w:rsidR="00DC794E" w:rsidRPr="00035461" w:rsidRDefault="00DC794E" w:rsidP="00035461">
            <w:pPr>
              <w:jc w:val="center"/>
              <w:rPr>
                <w:rFonts w:ascii="BrowalliaUPC" w:hAnsi="BrowalliaUPC" w:cs="BrowalliaUPC"/>
              </w:rPr>
            </w:pPr>
          </w:p>
        </w:tc>
      </w:tr>
      <w:tr w:rsidR="00DC794E" w:rsidTr="00B55129">
        <w:trPr>
          <w:gridAfter w:val="1"/>
          <w:wAfter w:w="104" w:type="dxa"/>
          <w:jc w:val="center"/>
        </w:trPr>
        <w:tc>
          <w:tcPr>
            <w:tcW w:w="3610" w:type="dxa"/>
            <w:gridSpan w:val="3"/>
          </w:tcPr>
          <w:p w:rsidR="00DC794E" w:rsidRDefault="00DC794E" w:rsidP="00125AE2">
            <w:pPr>
              <w:rPr>
                <w:rFonts w:ascii="BrowalliaUPC" w:hAnsi="BrowalliaUPC" w:cs="BrowalliaUPC"/>
                <w:color w:val="0D0D0D" w:themeColor="text1" w:themeTint="F2"/>
                <w:sz w:val="24"/>
                <w:szCs w:val="24"/>
              </w:rPr>
            </w:pPr>
            <w:r>
              <w:rPr>
                <w:rFonts w:ascii="BrowalliaUPC" w:hAnsi="BrowalliaUPC" w:cs="BrowalliaUPC"/>
                <w:b/>
                <w:bCs/>
                <w:color w:val="0D0D0D" w:themeColor="text1" w:themeTint="F2"/>
                <w:sz w:val="24"/>
                <w:szCs w:val="24"/>
              </w:rPr>
              <w:t>Compare Selling Price</w:t>
            </w:r>
          </w:p>
        </w:tc>
        <w:tc>
          <w:tcPr>
            <w:tcW w:w="1915" w:type="dxa"/>
          </w:tcPr>
          <w:p w:rsidR="00DC794E" w:rsidRDefault="00DC794E" w:rsidP="00DC794E">
            <w:pPr>
              <w:rPr>
                <w:rFonts w:ascii="BrowalliaUPC" w:hAnsi="BrowalliaUPC" w:cs="BrowalliaUPC"/>
                <w:color w:val="0D0D0D" w:themeColor="text1" w:themeTint="F2"/>
                <w:sz w:val="24"/>
                <w:szCs w:val="24"/>
              </w:rPr>
            </w:pPr>
            <w:r w:rsidRPr="00DC794E">
              <w:rPr>
                <w:rFonts w:ascii="BrowalliaUPC" w:hAnsi="BrowalliaUPC" w:cs="BrowalliaUPC"/>
                <w:color w:val="0D0D0D" w:themeColor="text1" w:themeTint="F2"/>
                <w:sz w:val="24"/>
                <w:szCs w:val="24"/>
              </w:rPr>
              <w:t>Below Market price   % or                     Baht</w:t>
            </w:r>
          </w:p>
        </w:tc>
        <w:tc>
          <w:tcPr>
            <w:tcW w:w="1915" w:type="dxa"/>
            <w:gridSpan w:val="2"/>
          </w:tcPr>
          <w:p w:rsidR="00DC794E" w:rsidRPr="00035461" w:rsidRDefault="00DC794E" w:rsidP="00035461">
            <w:pPr>
              <w:jc w:val="center"/>
              <w:rPr>
                <w:rFonts w:ascii="BrowalliaUPC" w:hAnsi="BrowalliaUPC" w:cs="BrowalliaUPC"/>
              </w:rPr>
            </w:pPr>
          </w:p>
        </w:tc>
        <w:tc>
          <w:tcPr>
            <w:tcW w:w="2205" w:type="dxa"/>
            <w:gridSpan w:val="2"/>
          </w:tcPr>
          <w:p w:rsidR="00DC794E" w:rsidRPr="00035461" w:rsidRDefault="00DC794E" w:rsidP="00035461">
            <w:pPr>
              <w:jc w:val="center"/>
              <w:rPr>
                <w:rFonts w:ascii="BrowalliaUPC" w:hAnsi="BrowalliaUPC" w:cs="BrowalliaUPC"/>
              </w:rPr>
            </w:pPr>
          </w:p>
        </w:tc>
      </w:tr>
    </w:tbl>
    <w:tbl>
      <w:tblPr>
        <w:tblW w:w="60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"/>
        <w:gridCol w:w="5813"/>
      </w:tblGrid>
      <w:tr w:rsidR="004946C7" w:rsidRPr="004946C7" w:rsidTr="004946C7">
        <w:tc>
          <w:tcPr>
            <w:tcW w:w="0" w:type="auto"/>
            <w:tcMar>
              <w:top w:w="15" w:type="dxa"/>
              <w:left w:w="0" w:type="dxa"/>
              <w:bottom w:w="15" w:type="dxa"/>
              <w:right w:w="0" w:type="dxa"/>
            </w:tcMar>
            <w:hideMark/>
          </w:tcPr>
          <w:p w:rsidR="004946C7" w:rsidRPr="004946C7" w:rsidRDefault="004946C7" w:rsidP="004946C7">
            <w:pPr>
              <w:rPr>
                <w:rFonts w:ascii="BrowalliaUPC" w:hAnsi="BrowalliaUPC" w:cs="BrowalliaUPC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Mar>
              <w:top w:w="15" w:type="dxa"/>
              <w:left w:w="180" w:type="dxa"/>
              <w:bottom w:w="15" w:type="dxa"/>
              <w:right w:w="0" w:type="dxa"/>
            </w:tcMar>
            <w:hideMark/>
          </w:tcPr>
          <w:p w:rsidR="004946C7" w:rsidRPr="004946C7" w:rsidRDefault="004946C7" w:rsidP="004946C7">
            <w:pPr>
              <w:rPr>
                <w:rFonts w:ascii="BrowalliaUPC" w:hAnsi="BrowalliaUPC" w:cs="BrowalliaUPC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4946C7" w:rsidRPr="004946C7" w:rsidRDefault="004946C7" w:rsidP="004946C7">
      <w:pPr>
        <w:rPr>
          <w:rFonts w:ascii="BrowalliaUPC" w:hAnsi="BrowalliaUPC" w:cs="BrowalliaUPC"/>
          <w:vanish/>
          <w:color w:val="0D0D0D" w:themeColor="text1" w:themeTint="F2"/>
          <w:sz w:val="24"/>
          <w:szCs w:val="24"/>
        </w:rPr>
      </w:pPr>
    </w:p>
    <w:tbl>
      <w:tblPr>
        <w:tblW w:w="50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2"/>
        <w:gridCol w:w="2513"/>
      </w:tblGrid>
      <w:tr w:rsidR="004946C7" w:rsidRPr="004946C7" w:rsidTr="004946C7"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6C7" w:rsidRPr="004946C7" w:rsidRDefault="004946C7" w:rsidP="004946C7">
            <w:pPr>
              <w:rPr>
                <w:rFonts w:ascii="BrowalliaUPC" w:hAnsi="BrowalliaUPC" w:cs="BrowalliaUPC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946C7" w:rsidRPr="004946C7" w:rsidRDefault="004946C7" w:rsidP="004946C7">
            <w:pPr>
              <w:rPr>
                <w:rFonts w:ascii="BrowalliaUPC" w:hAnsi="BrowalliaUPC" w:cs="BrowalliaUPC"/>
                <w:b/>
                <w:bCs/>
                <w:color w:val="0D0D0D" w:themeColor="text1" w:themeTint="F2"/>
                <w:sz w:val="24"/>
                <w:szCs w:val="24"/>
              </w:rPr>
            </w:pPr>
          </w:p>
        </w:tc>
      </w:tr>
      <w:tr w:rsidR="004946C7" w:rsidRPr="004946C7" w:rsidTr="004946C7">
        <w:tc>
          <w:tcPr>
            <w:tcW w:w="0" w:type="auto"/>
            <w:vAlign w:val="center"/>
            <w:hideMark/>
          </w:tcPr>
          <w:p w:rsidR="004946C7" w:rsidRPr="004946C7" w:rsidRDefault="004946C7" w:rsidP="004946C7">
            <w:pPr>
              <w:rPr>
                <w:rFonts w:ascii="BrowalliaUPC" w:hAnsi="BrowalliaUPC" w:cs="BrowalliaUPC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946C7" w:rsidRPr="004946C7" w:rsidRDefault="004946C7" w:rsidP="004946C7">
            <w:pPr>
              <w:rPr>
                <w:rFonts w:ascii="BrowalliaUPC" w:hAnsi="BrowalliaUPC" w:cs="BrowalliaUPC"/>
                <w:color w:val="0D0D0D" w:themeColor="text1" w:themeTint="F2"/>
                <w:sz w:val="24"/>
                <w:szCs w:val="24"/>
              </w:rPr>
            </w:pPr>
          </w:p>
        </w:tc>
      </w:tr>
      <w:tr w:rsidR="004946C7" w:rsidRPr="004946C7" w:rsidTr="004946C7">
        <w:tc>
          <w:tcPr>
            <w:tcW w:w="0" w:type="auto"/>
            <w:vAlign w:val="center"/>
            <w:hideMark/>
          </w:tcPr>
          <w:p w:rsidR="004946C7" w:rsidRPr="004946C7" w:rsidRDefault="004946C7" w:rsidP="004946C7">
            <w:pPr>
              <w:rPr>
                <w:rFonts w:ascii="BrowalliaUPC" w:hAnsi="BrowalliaUPC" w:cs="BrowalliaUPC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946C7" w:rsidRPr="004946C7" w:rsidRDefault="004946C7" w:rsidP="004946C7">
            <w:pPr>
              <w:rPr>
                <w:rFonts w:ascii="BrowalliaUPC" w:hAnsi="BrowalliaUPC" w:cs="BrowalliaUPC"/>
                <w:color w:val="0D0D0D" w:themeColor="text1" w:themeTint="F2"/>
                <w:sz w:val="24"/>
                <w:szCs w:val="24"/>
              </w:rPr>
            </w:pPr>
          </w:p>
        </w:tc>
      </w:tr>
      <w:tr w:rsidR="004946C7" w:rsidRPr="004946C7" w:rsidTr="004946C7">
        <w:tc>
          <w:tcPr>
            <w:tcW w:w="0" w:type="auto"/>
            <w:vAlign w:val="center"/>
            <w:hideMark/>
          </w:tcPr>
          <w:p w:rsidR="004946C7" w:rsidRPr="004946C7" w:rsidRDefault="004946C7" w:rsidP="004946C7">
            <w:pPr>
              <w:rPr>
                <w:rFonts w:ascii="BrowalliaUPC" w:hAnsi="BrowalliaUPC" w:cs="BrowalliaUPC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4946C7" w:rsidRPr="004946C7" w:rsidRDefault="004946C7" w:rsidP="004946C7">
            <w:pPr>
              <w:rPr>
                <w:rFonts w:ascii="BrowalliaUPC" w:hAnsi="BrowalliaUPC" w:cs="BrowalliaUPC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4946C7" w:rsidRPr="004C1655" w:rsidRDefault="004946C7" w:rsidP="00927928">
      <w:pPr>
        <w:rPr>
          <w:rFonts w:ascii="BrowalliaUPC" w:hAnsi="BrowalliaUPC" w:cs="BrowalliaUPC"/>
          <w:color w:val="0D0D0D" w:themeColor="text1" w:themeTint="F2"/>
          <w:sz w:val="24"/>
          <w:szCs w:val="24"/>
        </w:rPr>
      </w:pPr>
    </w:p>
    <w:sectPr w:rsidR="004946C7" w:rsidRPr="004C1655" w:rsidSect="00035461">
      <w:pgSz w:w="12240" w:h="15840"/>
      <w:pgMar w:top="90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4pt;height:11.4pt" o:bullet="t">
        <v:imagedata r:id="rId1" o:title="msoC984"/>
      </v:shape>
    </w:pict>
  </w:numPicBullet>
  <w:abstractNum w:abstractNumId="0">
    <w:nsid w:val="037670D0"/>
    <w:multiLevelType w:val="multilevel"/>
    <w:tmpl w:val="A1FCA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572E77"/>
    <w:multiLevelType w:val="hybridMultilevel"/>
    <w:tmpl w:val="036E00F2"/>
    <w:lvl w:ilvl="0" w:tplc="F7C6F4C6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017FA"/>
    <w:multiLevelType w:val="multilevel"/>
    <w:tmpl w:val="12CEC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2E7EF6"/>
    <w:multiLevelType w:val="multilevel"/>
    <w:tmpl w:val="A1FCA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78733B"/>
    <w:multiLevelType w:val="multilevel"/>
    <w:tmpl w:val="FF1C858A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C27589"/>
    <w:multiLevelType w:val="multilevel"/>
    <w:tmpl w:val="A1FCA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C225F8"/>
    <w:multiLevelType w:val="multilevel"/>
    <w:tmpl w:val="B5EA8B56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A77388"/>
    <w:multiLevelType w:val="hybridMultilevel"/>
    <w:tmpl w:val="013CC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982C84"/>
    <w:multiLevelType w:val="hybridMultilevel"/>
    <w:tmpl w:val="2A3C9CD4"/>
    <w:lvl w:ilvl="0" w:tplc="B928EA40">
      <w:numFmt w:val="bullet"/>
      <w:lvlText w:val="•"/>
      <w:lvlJc w:val="left"/>
      <w:pPr>
        <w:ind w:left="1080" w:hanging="72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2B7B74"/>
    <w:multiLevelType w:val="multilevel"/>
    <w:tmpl w:val="BAF2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B4D6BAD"/>
    <w:multiLevelType w:val="multilevel"/>
    <w:tmpl w:val="036E00F2"/>
    <w:lvl w:ilvl="0">
      <w:start w:val="9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786132"/>
    <w:multiLevelType w:val="multilevel"/>
    <w:tmpl w:val="F93AEFF4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B1249D"/>
    <w:multiLevelType w:val="multilevel"/>
    <w:tmpl w:val="A1FCA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C9D7680"/>
    <w:multiLevelType w:val="hybridMultilevel"/>
    <w:tmpl w:val="C010A472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7"/>
  </w:num>
  <w:num w:numId="5">
    <w:abstractNumId w:val="0"/>
  </w:num>
  <w:num w:numId="6">
    <w:abstractNumId w:val="3"/>
  </w:num>
  <w:num w:numId="7">
    <w:abstractNumId w:val="5"/>
  </w:num>
  <w:num w:numId="8">
    <w:abstractNumId w:val="1"/>
  </w:num>
  <w:num w:numId="9">
    <w:abstractNumId w:val="10"/>
  </w:num>
  <w:num w:numId="10">
    <w:abstractNumId w:val="8"/>
  </w:num>
  <w:num w:numId="11">
    <w:abstractNumId w:val="13"/>
  </w:num>
  <w:num w:numId="12">
    <w:abstractNumId w:val="4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959"/>
    <w:rsid w:val="00035461"/>
    <w:rsid w:val="00125AE2"/>
    <w:rsid w:val="0038549B"/>
    <w:rsid w:val="004946C7"/>
    <w:rsid w:val="004C1655"/>
    <w:rsid w:val="00606D35"/>
    <w:rsid w:val="00664959"/>
    <w:rsid w:val="00883A0D"/>
    <w:rsid w:val="00927928"/>
    <w:rsid w:val="00A23A9E"/>
    <w:rsid w:val="00CC0488"/>
    <w:rsid w:val="00DC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27928"/>
    <w:rPr>
      <w:b/>
      <w:bCs/>
    </w:rPr>
  </w:style>
  <w:style w:type="character" w:customStyle="1" w:styleId="apple-converted-space">
    <w:name w:val="apple-converted-space"/>
    <w:basedOn w:val="DefaultParagraphFont"/>
    <w:rsid w:val="00927928"/>
  </w:style>
  <w:style w:type="character" w:styleId="Emphasis">
    <w:name w:val="Emphasis"/>
    <w:basedOn w:val="DefaultParagraphFont"/>
    <w:uiPriority w:val="20"/>
    <w:qFormat/>
    <w:rsid w:val="00927928"/>
    <w:rPr>
      <w:i/>
      <w:iCs/>
    </w:rPr>
  </w:style>
  <w:style w:type="paragraph" w:styleId="ListParagraph">
    <w:name w:val="List Paragraph"/>
    <w:basedOn w:val="Normal"/>
    <w:uiPriority w:val="34"/>
    <w:qFormat/>
    <w:rsid w:val="00927928"/>
    <w:pPr>
      <w:ind w:left="720"/>
      <w:contextualSpacing/>
    </w:pPr>
  </w:style>
  <w:style w:type="table" w:styleId="TableGrid">
    <w:name w:val="Table Grid"/>
    <w:basedOn w:val="TableNormal"/>
    <w:uiPriority w:val="59"/>
    <w:rsid w:val="00385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38549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1">
    <w:name w:val="Medium Shading 1"/>
    <w:basedOn w:val="TableNormal"/>
    <w:uiPriority w:val="63"/>
    <w:rsid w:val="003854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27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27928"/>
    <w:rPr>
      <w:b/>
      <w:bCs/>
    </w:rPr>
  </w:style>
  <w:style w:type="character" w:customStyle="1" w:styleId="apple-converted-space">
    <w:name w:val="apple-converted-space"/>
    <w:basedOn w:val="DefaultParagraphFont"/>
    <w:rsid w:val="00927928"/>
  </w:style>
  <w:style w:type="character" w:styleId="Emphasis">
    <w:name w:val="Emphasis"/>
    <w:basedOn w:val="DefaultParagraphFont"/>
    <w:uiPriority w:val="20"/>
    <w:qFormat/>
    <w:rsid w:val="00927928"/>
    <w:rPr>
      <w:i/>
      <w:iCs/>
    </w:rPr>
  </w:style>
  <w:style w:type="paragraph" w:styleId="ListParagraph">
    <w:name w:val="List Paragraph"/>
    <w:basedOn w:val="Normal"/>
    <w:uiPriority w:val="34"/>
    <w:qFormat/>
    <w:rsid w:val="00927928"/>
    <w:pPr>
      <w:ind w:left="720"/>
      <w:contextualSpacing/>
    </w:pPr>
  </w:style>
  <w:style w:type="table" w:styleId="TableGrid">
    <w:name w:val="Table Grid"/>
    <w:basedOn w:val="TableNormal"/>
    <w:uiPriority w:val="59"/>
    <w:rsid w:val="00385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38549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1">
    <w:name w:val="Medium Shading 1"/>
    <w:basedOn w:val="TableNormal"/>
    <w:uiPriority w:val="63"/>
    <w:rsid w:val="0038549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1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Sep</cp:lastModifiedBy>
  <cp:revision>5</cp:revision>
  <cp:lastPrinted>2016-01-19T14:27:00Z</cp:lastPrinted>
  <dcterms:created xsi:type="dcterms:W3CDTF">2016-01-19T03:10:00Z</dcterms:created>
  <dcterms:modified xsi:type="dcterms:W3CDTF">2016-01-19T18:38:00Z</dcterms:modified>
</cp:coreProperties>
</file>